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C0893" w14:textId="3391A8F6" w:rsidR="003F3A41" w:rsidRPr="00500C4E" w:rsidRDefault="00A57D36" w:rsidP="00A57D36">
      <w:pPr>
        <w:pStyle w:val="WPnumber"/>
      </w:pPr>
      <w:bookmarkStart w:id="0" w:name="_Toc153189647"/>
      <w:bookmarkStart w:id="1" w:name="_Toc214003082"/>
      <w:r w:rsidRPr="00500C4E">
        <w:t xml:space="preserve">Work Paper </w:t>
      </w:r>
      <w:sdt>
        <w:sdt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B7C2C" w:rsidRPr="00EB7C2C">
            <w:t>SCE17CC002</w:t>
          </w:r>
        </w:sdtContent>
      </w:sdt>
    </w:p>
    <w:bookmarkEnd w:id="0"/>
    <w:p w14:paraId="7601CE2F" w14:textId="793BDBDC" w:rsidR="00DA690B" w:rsidRPr="00500C4E" w:rsidRDefault="00014530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3F3A41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B54CF5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0</w:t>
          </w:r>
        </w:sdtContent>
      </w:sdt>
    </w:p>
    <w:p w14:paraId="3E4FD8A9" w14:textId="4CB4D611" w:rsidR="00285A0D" w:rsidRPr="00500C4E" w:rsidRDefault="00F30167" w:rsidP="00DE5758">
      <w:pPr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Short Form</w:t>
      </w:r>
    </w:p>
    <w:bookmarkStart w:id="2" w:name="SCE"/>
    <w:p w14:paraId="1837A157" w14:textId="79948BB8" w:rsidR="00DA690B" w:rsidRPr="00500C4E" w:rsidRDefault="00014530" w:rsidP="00DA690B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031487B9D5364842B3F71E059B0301DC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8524C">
            <w:rPr>
              <w:rFonts w:cstheme="minorHAnsi"/>
              <w:b/>
              <w:sz w:val="36"/>
              <w:szCs w:val="36"/>
            </w:rPr>
            <w:t>Southern California Edison</w:t>
          </w:r>
        </w:sdtContent>
      </w:sdt>
      <w:bookmarkEnd w:id="2"/>
    </w:p>
    <w:p w14:paraId="29354732" w14:textId="77777777" w:rsidR="00DA690B" w:rsidRPr="00500C4E" w:rsidRDefault="00DA690B" w:rsidP="00DA690B">
      <w:pPr>
        <w:rPr>
          <w:rFonts w:cstheme="minorHAnsi"/>
        </w:rPr>
      </w:pPr>
    </w:p>
    <w:p w14:paraId="7BF912AA" w14:textId="77777777" w:rsidR="00DA690B" w:rsidRPr="00500C4E" w:rsidRDefault="00DA690B" w:rsidP="00DA690B">
      <w:pPr>
        <w:rPr>
          <w:rFonts w:cstheme="minorHAnsi"/>
        </w:rPr>
      </w:pPr>
    </w:p>
    <w:p w14:paraId="1D4E0B3B" w14:textId="77777777" w:rsidR="00DA690B" w:rsidRPr="00500C4E" w:rsidRDefault="009D0753" w:rsidP="009D0753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611997E" w14:textId="77777777" w:rsidR="00DA690B" w:rsidRPr="00500C4E" w:rsidRDefault="00DA690B" w:rsidP="00DA690B">
      <w:pPr>
        <w:rPr>
          <w:rFonts w:cstheme="minorHAnsi"/>
        </w:rPr>
      </w:pPr>
    </w:p>
    <w:p w14:paraId="7C3A666A" w14:textId="77777777" w:rsidR="00DA690B" w:rsidRPr="00500C4E" w:rsidRDefault="00DA690B" w:rsidP="00DA690B">
      <w:pPr>
        <w:rPr>
          <w:rFonts w:cstheme="minorHAnsi"/>
        </w:rPr>
      </w:pPr>
    </w:p>
    <w:p w14:paraId="6777E312" w14:textId="77777777" w:rsidR="00DA690B" w:rsidRPr="00500C4E" w:rsidRDefault="00DA690B" w:rsidP="00DA690B">
      <w:pPr>
        <w:rPr>
          <w:rFonts w:cstheme="minorHAnsi"/>
        </w:rPr>
      </w:pPr>
    </w:p>
    <w:p w14:paraId="7D4F1F66" w14:textId="77777777" w:rsidR="00DA690B" w:rsidRPr="00500C4E" w:rsidRDefault="00DA690B" w:rsidP="00DA690B">
      <w:pPr>
        <w:rPr>
          <w:rFonts w:cstheme="minorHAnsi"/>
        </w:rPr>
      </w:pPr>
    </w:p>
    <w:p w14:paraId="5F74818A" w14:textId="77777777" w:rsidR="00DA690B" w:rsidRPr="00500C4E" w:rsidRDefault="00DA690B" w:rsidP="00DA690B">
      <w:pPr>
        <w:rPr>
          <w:rFonts w:cstheme="minorHAnsi"/>
        </w:rPr>
      </w:pPr>
    </w:p>
    <w:p w14:paraId="139A8425" w14:textId="73B70FEC" w:rsidR="00DA690B" w:rsidRPr="00500C4E" w:rsidRDefault="00EB7C2C" w:rsidP="00DA690B">
      <w:pPr>
        <w:rPr>
          <w:rFonts w:cstheme="minorHAnsi"/>
          <w:b/>
          <w:sz w:val="72"/>
          <w:szCs w:val="72"/>
        </w:rPr>
      </w:pPr>
      <w:r w:rsidRPr="00EB7C2C">
        <w:rPr>
          <w:rFonts w:cstheme="minorHAnsi"/>
          <w:b/>
          <w:sz w:val="72"/>
          <w:szCs w:val="72"/>
        </w:rPr>
        <w:t>Commercial Electric Steamers</w:t>
      </w:r>
      <w:r w:rsidR="00DA690B" w:rsidRPr="00500C4E">
        <w:rPr>
          <w:rFonts w:cstheme="minorHAnsi"/>
          <w:b/>
          <w:sz w:val="72"/>
          <w:szCs w:val="72"/>
        </w:rPr>
        <w:t xml:space="preserve"> </w:t>
      </w:r>
    </w:p>
    <w:p w14:paraId="29CC4055" w14:textId="77777777" w:rsidR="00E76B31" w:rsidRPr="00500C4E" w:rsidRDefault="00E76B31" w:rsidP="00E76B31">
      <w:pPr>
        <w:pStyle w:val="Reminders"/>
        <w:rPr>
          <w:rFonts w:asciiTheme="minorHAnsi" w:hAnsiTheme="minorHAnsi" w:cstheme="minorHAnsi"/>
          <w:i w:val="0"/>
          <w:szCs w:val="22"/>
        </w:rPr>
      </w:pPr>
    </w:p>
    <w:p w14:paraId="60C5441A" w14:textId="0AD285A5" w:rsidR="00F30167" w:rsidRDefault="00F30167">
      <w:pPr>
        <w:spacing w:after="200" w:line="276" w:lineRule="auto"/>
        <w:rPr>
          <w:rFonts w:cstheme="minorHAnsi"/>
          <w:b/>
          <w:color w:val="FF0000"/>
          <w:sz w:val="32"/>
          <w:szCs w:val="22"/>
        </w:rPr>
      </w:pPr>
      <w:r>
        <w:rPr>
          <w:rFonts w:cstheme="minorHAnsi"/>
          <w:b/>
          <w:i/>
          <w:sz w:val="32"/>
          <w:szCs w:val="22"/>
        </w:rPr>
        <w:br w:type="page"/>
      </w:r>
    </w:p>
    <w:p w14:paraId="495DC982" w14:textId="260D6AA2" w:rsidR="00F30167" w:rsidRDefault="00F30167" w:rsidP="00F30167">
      <w:pPr>
        <w:pStyle w:val="Reminders"/>
        <w:rPr>
          <w:rFonts w:asciiTheme="minorHAnsi" w:hAnsiTheme="minorHAnsi" w:cstheme="minorHAnsi"/>
          <w:b/>
          <w:i w:val="0"/>
          <w:color w:val="auto"/>
          <w:sz w:val="28"/>
          <w:szCs w:val="22"/>
        </w:rPr>
      </w:pPr>
      <w:r>
        <w:rPr>
          <w:rFonts w:asciiTheme="minorHAnsi" w:hAnsiTheme="minorHAnsi" w:cstheme="minorHAnsi"/>
          <w:b/>
          <w:i w:val="0"/>
          <w:color w:val="auto"/>
          <w:sz w:val="28"/>
          <w:szCs w:val="22"/>
        </w:rPr>
        <w:lastRenderedPageBreak/>
        <w:t>Introduction</w:t>
      </w:r>
    </w:p>
    <w:p w14:paraId="78940EFD" w14:textId="40443B7B" w:rsidR="00F30167" w:rsidRPr="00B54CF5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  <w:r w:rsidRPr="00B54CF5">
        <w:rPr>
          <w:rFonts w:asciiTheme="minorHAnsi" w:hAnsiTheme="minorHAnsi" w:cstheme="minorHAnsi"/>
          <w:i w:val="0"/>
          <w:color w:val="auto"/>
          <w:szCs w:val="22"/>
        </w:rPr>
        <w:t xml:space="preserve">This short form </w:t>
      </w:r>
      <w:proofErr w:type="spellStart"/>
      <w:r w:rsidRPr="00B54CF5">
        <w:rPr>
          <w:rFonts w:asciiTheme="minorHAnsi" w:hAnsiTheme="minorHAnsi" w:cstheme="minorHAnsi"/>
          <w:i w:val="0"/>
          <w:color w:val="auto"/>
          <w:szCs w:val="22"/>
        </w:rPr>
        <w:t>workpaper</w:t>
      </w:r>
      <w:proofErr w:type="spellEnd"/>
      <w:r w:rsidRPr="00B54CF5">
        <w:rPr>
          <w:rFonts w:asciiTheme="minorHAnsi" w:hAnsiTheme="minorHAnsi" w:cstheme="minorHAnsi"/>
          <w:i w:val="0"/>
          <w:color w:val="auto"/>
          <w:szCs w:val="22"/>
        </w:rPr>
        <w:t xml:space="preserve"> documents (WP) the values adopted from PGE’s WP entitled “</w:t>
      </w:r>
      <w:r w:rsidR="000F5D61" w:rsidRPr="000F5D61">
        <w:rPr>
          <w:rFonts w:asciiTheme="minorHAnsi" w:hAnsiTheme="minorHAnsi" w:cstheme="minorHAnsi"/>
          <w:i w:val="0"/>
          <w:color w:val="auto"/>
          <w:szCs w:val="22"/>
        </w:rPr>
        <w:t>Commercial Steam Cooker-Electric and Gas</w:t>
      </w:r>
      <w:r w:rsidRPr="00B54CF5">
        <w:rPr>
          <w:rFonts w:asciiTheme="minorHAnsi" w:hAnsiTheme="minorHAnsi" w:cstheme="minorHAnsi"/>
          <w:i w:val="0"/>
          <w:color w:val="auto"/>
          <w:szCs w:val="22"/>
        </w:rPr>
        <w:t>” (</w:t>
      </w:r>
      <w:r w:rsidR="00EB7C2C" w:rsidRPr="00EB7C2C">
        <w:rPr>
          <w:rFonts w:asciiTheme="minorHAnsi" w:hAnsiTheme="minorHAnsi" w:cstheme="minorHAnsi"/>
          <w:i w:val="0"/>
          <w:color w:val="auto"/>
          <w:szCs w:val="22"/>
        </w:rPr>
        <w:t>PGECOFST104 R6</w:t>
      </w:r>
      <w:r w:rsidRPr="00B54CF5">
        <w:rPr>
          <w:rFonts w:asciiTheme="minorHAnsi" w:hAnsiTheme="minorHAnsi" w:cstheme="minorHAnsi"/>
          <w:i w:val="0"/>
          <w:color w:val="auto"/>
          <w:szCs w:val="22"/>
        </w:rPr>
        <w:t xml:space="preserve">). SCE adopts all the values in </w:t>
      </w:r>
      <w:r w:rsidR="00EB7C2C" w:rsidRPr="00EB7C2C">
        <w:rPr>
          <w:rFonts w:asciiTheme="minorHAnsi" w:hAnsiTheme="minorHAnsi" w:cstheme="minorHAnsi"/>
          <w:i w:val="0"/>
          <w:color w:val="auto"/>
          <w:szCs w:val="22"/>
        </w:rPr>
        <w:t>PGECOFST104 R6</w:t>
      </w:r>
      <w:r w:rsidR="00B54CF5" w:rsidRPr="00B54CF5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  <w:r w:rsidRPr="00B54CF5">
        <w:rPr>
          <w:rFonts w:asciiTheme="minorHAnsi" w:hAnsiTheme="minorHAnsi" w:cstheme="minorHAnsi"/>
          <w:i w:val="0"/>
          <w:color w:val="auto"/>
          <w:szCs w:val="22"/>
        </w:rPr>
        <w:t>– “</w:t>
      </w:r>
      <w:r w:rsidR="000F5D61" w:rsidRPr="000F5D61">
        <w:rPr>
          <w:rFonts w:asciiTheme="minorHAnsi" w:hAnsiTheme="minorHAnsi" w:cstheme="minorHAnsi"/>
          <w:i w:val="0"/>
          <w:color w:val="auto"/>
          <w:szCs w:val="22"/>
        </w:rPr>
        <w:t>Commercial Steam Cooker-Electric and Gas</w:t>
      </w:r>
      <w:r w:rsidR="000F5D61">
        <w:rPr>
          <w:rFonts w:asciiTheme="minorHAnsi" w:hAnsiTheme="minorHAnsi" w:cstheme="minorHAnsi"/>
          <w:i w:val="0"/>
          <w:color w:val="auto"/>
          <w:szCs w:val="22"/>
        </w:rPr>
        <w:t xml:space="preserve">” with no changes.  </w:t>
      </w:r>
    </w:p>
    <w:p w14:paraId="1A0C60DA" w14:textId="77777777" w:rsidR="00F30167" w:rsidRPr="00F30167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 w:val="28"/>
          <w:szCs w:val="22"/>
        </w:rPr>
      </w:pPr>
    </w:p>
    <w:p w14:paraId="25B60788" w14:textId="25FC185B" w:rsidR="0088361D" w:rsidRPr="00500C4E" w:rsidRDefault="00F30167" w:rsidP="00C959CA">
      <w:pPr>
        <w:pStyle w:val="Heading1"/>
      </w:pPr>
      <w:r>
        <w:t xml:space="preserve">Document </w:t>
      </w:r>
      <w:r w:rsidR="00EB34FC" w:rsidRPr="00500C4E">
        <w:t>Revision History</w:t>
      </w: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524"/>
        <w:gridCol w:w="1182"/>
        <w:gridCol w:w="1305"/>
        <w:gridCol w:w="6565"/>
      </w:tblGrid>
      <w:tr w:rsidR="003845E5" w:rsidRPr="00500C4E" w14:paraId="5AFD7FBC" w14:textId="77777777" w:rsidTr="00B54CF5">
        <w:trPr>
          <w:trHeight w:val="20"/>
        </w:trPr>
        <w:tc>
          <w:tcPr>
            <w:tcW w:w="280" w:type="pct"/>
            <w:shd w:val="clear" w:color="auto" w:fill="D9D9D9" w:themeFill="background1" w:themeFillShade="D9"/>
          </w:tcPr>
          <w:p w14:paraId="52E1F882" w14:textId="5B461D80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</w:p>
        </w:tc>
        <w:tc>
          <w:tcPr>
            <w:tcW w:w="578" w:type="pct"/>
            <w:shd w:val="clear" w:color="auto" w:fill="D9D9D9" w:themeFill="background1" w:themeFillShade="D9"/>
          </w:tcPr>
          <w:p w14:paraId="420782CC" w14:textId="2B873DC8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701" w:type="pct"/>
            <w:shd w:val="clear" w:color="auto" w:fill="D9D9D9" w:themeFill="background1" w:themeFillShade="D9"/>
          </w:tcPr>
          <w:p w14:paraId="35319158" w14:textId="1CEA4CD6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3441" w:type="pct"/>
            <w:shd w:val="clear" w:color="auto" w:fill="D9D9D9" w:themeFill="background1" w:themeFillShade="D9"/>
          </w:tcPr>
          <w:p w14:paraId="49A1B083" w14:textId="77777777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3845E5" w:rsidRPr="00500C4E" w14:paraId="62DC1728" w14:textId="77777777" w:rsidTr="00B54CF5">
        <w:trPr>
          <w:trHeight w:val="20"/>
        </w:trPr>
        <w:tc>
          <w:tcPr>
            <w:tcW w:w="280" w:type="pct"/>
            <w:tcBorders>
              <w:bottom w:val="single" w:sz="4" w:space="0" w:color="auto"/>
            </w:tcBorders>
          </w:tcPr>
          <w:p w14:paraId="3E501C93" w14:textId="38F4E864" w:rsidR="0036726C" w:rsidRPr="00500C4E" w:rsidRDefault="00B54CF5" w:rsidP="005729C8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</w:t>
            </w:r>
          </w:p>
        </w:tc>
        <w:tc>
          <w:tcPr>
            <w:tcW w:w="578" w:type="pct"/>
            <w:tcBorders>
              <w:bottom w:val="single" w:sz="4" w:space="0" w:color="auto"/>
            </w:tcBorders>
          </w:tcPr>
          <w:p w14:paraId="2265169C" w14:textId="2FBBDCF1" w:rsidR="0036726C" w:rsidRPr="00500C4E" w:rsidRDefault="00B54CF5" w:rsidP="00EB7C2C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11</w:t>
            </w:r>
            <w:r w:rsidR="00F30167">
              <w:rPr>
                <w:rFonts w:cstheme="minorHAnsi"/>
                <w:szCs w:val="20"/>
              </w:rPr>
              <w:t>/</w:t>
            </w:r>
            <w:r>
              <w:rPr>
                <w:rFonts w:cstheme="minorHAnsi"/>
                <w:szCs w:val="20"/>
              </w:rPr>
              <w:t>2</w:t>
            </w:r>
            <w:r w:rsidR="001C6D82">
              <w:rPr>
                <w:rFonts w:cstheme="minorHAnsi"/>
                <w:szCs w:val="20"/>
              </w:rPr>
              <w:t>9</w:t>
            </w:r>
            <w:r w:rsidR="00F30167">
              <w:rPr>
                <w:rFonts w:cstheme="minorHAnsi"/>
                <w:szCs w:val="20"/>
              </w:rPr>
              <w:t>/201</w:t>
            </w:r>
            <w:r>
              <w:rPr>
                <w:rFonts w:cstheme="minorHAnsi"/>
                <w:szCs w:val="20"/>
              </w:rPr>
              <w:t>7</w:t>
            </w:r>
          </w:p>
        </w:tc>
        <w:tc>
          <w:tcPr>
            <w:tcW w:w="701" w:type="pct"/>
            <w:tcBorders>
              <w:bottom w:val="single" w:sz="4" w:space="0" w:color="auto"/>
            </w:tcBorders>
          </w:tcPr>
          <w:p w14:paraId="1B212508" w14:textId="24AE4205" w:rsidR="0036726C" w:rsidRPr="00500C4E" w:rsidRDefault="00B54CF5" w:rsidP="005729C8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Arvind </w:t>
            </w:r>
            <w:proofErr w:type="spellStart"/>
            <w:r>
              <w:rPr>
                <w:rFonts w:cstheme="minorHAnsi"/>
                <w:szCs w:val="20"/>
              </w:rPr>
              <w:t>Subramanya</w:t>
            </w:r>
            <w:proofErr w:type="spellEnd"/>
            <w:r>
              <w:rPr>
                <w:rFonts w:cstheme="minorHAnsi"/>
                <w:szCs w:val="20"/>
              </w:rPr>
              <w:t xml:space="preserve"> (TRC)</w:t>
            </w:r>
          </w:p>
        </w:tc>
        <w:tc>
          <w:tcPr>
            <w:tcW w:w="3441" w:type="pct"/>
            <w:tcBorders>
              <w:bottom w:val="single" w:sz="4" w:space="0" w:color="auto"/>
            </w:tcBorders>
          </w:tcPr>
          <w:p w14:paraId="5EDF622B" w14:textId="77777777" w:rsidR="00EB7C2C" w:rsidRDefault="00EB7C2C" w:rsidP="00EB7C2C">
            <w:pPr>
              <w:pStyle w:val="ListParagraph"/>
            </w:pPr>
          </w:p>
          <w:p w14:paraId="180B538F" w14:textId="77777777" w:rsidR="000F5D61" w:rsidRPr="000F5D61" w:rsidRDefault="000F5D61" w:rsidP="000F5D61">
            <w:pPr>
              <w:pStyle w:val="ListParagraph"/>
              <w:numPr>
                <w:ilvl w:val="0"/>
                <w:numId w:val="42"/>
              </w:numPr>
            </w:pPr>
            <w:r w:rsidRPr="000F5D61">
              <w:t xml:space="preserve">Transferred savings values to SCE Calculation template for the 2017 program year. </w:t>
            </w:r>
          </w:p>
          <w:p w14:paraId="0D497C2B" w14:textId="3AE62C7D" w:rsidR="007C62CE" w:rsidRDefault="007C62CE" w:rsidP="000F5D61">
            <w:pPr>
              <w:pStyle w:val="ListParagraph"/>
              <w:numPr>
                <w:ilvl w:val="0"/>
                <w:numId w:val="42"/>
              </w:numPr>
            </w:pPr>
            <w:r w:rsidRPr="007C62CE">
              <w:t xml:space="preserve">Mid-stream program was added in this revision of the </w:t>
            </w:r>
            <w:proofErr w:type="spellStart"/>
            <w:r w:rsidRPr="007C62CE">
              <w:t>workpaper</w:t>
            </w:r>
            <w:proofErr w:type="spellEnd"/>
            <w:r w:rsidRPr="007C62CE">
              <w:t>.</w:t>
            </w:r>
          </w:p>
          <w:p w14:paraId="4CB37966" w14:textId="77777777" w:rsidR="000F5D61" w:rsidRDefault="000F5D61" w:rsidP="000F5D61">
            <w:pPr>
              <w:pStyle w:val="ListParagraph"/>
              <w:numPr>
                <w:ilvl w:val="0"/>
                <w:numId w:val="42"/>
              </w:numPr>
            </w:pPr>
            <w:r>
              <w:t xml:space="preserve">All 16 climate zones were used in this version. </w:t>
            </w:r>
          </w:p>
          <w:p w14:paraId="1C450B02" w14:textId="630F373B" w:rsidR="000F5D61" w:rsidRPr="006E1C0F" w:rsidRDefault="000F5D61" w:rsidP="000F5D61">
            <w:pPr>
              <w:pStyle w:val="ListParagraph"/>
              <w:numPr>
                <w:ilvl w:val="0"/>
                <w:numId w:val="42"/>
              </w:numPr>
            </w:pPr>
            <w:r w:rsidRPr="000F5D61">
              <w:t>Only electric measures from PGECOFST104 R6</w:t>
            </w:r>
            <w:r>
              <w:t xml:space="preserve"> </w:t>
            </w:r>
            <w:r w:rsidRPr="000F5D61">
              <w:t>are included in this version.</w:t>
            </w:r>
          </w:p>
          <w:p w14:paraId="61966CE2" w14:textId="0F300EF1" w:rsidR="00F30167" w:rsidRPr="00EB7C2C" w:rsidRDefault="00F30167" w:rsidP="00EB7C2C">
            <w:pPr>
              <w:rPr>
                <w:rFonts w:cstheme="minorHAnsi"/>
                <w:bCs/>
                <w:szCs w:val="20"/>
              </w:rPr>
            </w:pPr>
          </w:p>
        </w:tc>
      </w:tr>
    </w:tbl>
    <w:p w14:paraId="0A689F00" w14:textId="1FC4141C" w:rsidR="00DA2822" w:rsidRDefault="008877AF" w:rsidP="00BA5FE4">
      <w:pPr>
        <w:spacing w:line="276" w:lineRule="auto"/>
        <w:rPr>
          <w:szCs w:val="20"/>
        </w:rPr>
      </w:pPr>
      <w:r w:rsidRPr="00BA5FE4">
        <w:rPr>
          <w:color w:val="FF0000"/>
          <w:szCs w:val="20"/>
        </w:rPr>
        <w:t xml:space="preserve"> </w:t>
      </w:r>
      <w:r w:rsidR="00DA2822">
        <w:rPr>
          <w:szCs w:val="20"/>
        </w:rPr>
        <w:br w:type="page"/>
      </w:r>
    </w:p>
    <w:p w14:paraId="255B2329" w14:textId="0070D98B" w:rsidR="00F30167" w:rsidRPr="00F30167" w:rsidRDefault="00F30167" w:rsidP="00BA5FE4">
      <w:pPr>
        <w:spacing w:line="276" w:lineRule="auto"/>
        <w:rPr>
          <w:b/>
          <w:szCs w:val="20"/>
        </w:rPr>
      </w:pPr>
      <w:r w:rsidRPr="00F30167">
        <w:rPr>
          <w:b/>
          <w:szCs w:val="20"/>
        </w:rPr>
        <w:lastRenderedPageBreak/>
        <w:t>Measure Summary</w:t>
      </w:r>
    </w:p>
    <w:p w14:paraId="68F1D0A6" w14:textId="2F984A8D" w:rsidR="009A2332" w:rsidRDefault="00F30167" w:rsidP="009A2332">
      <w:pPr>
        <w:pStyle w:val="Caption"/>
        <w:keepNext/>
        <w:jc w:val="center"/>
      </w:pPr>
      <w:r>
        <w:t xml:space="preserve">Table </w:t>
      </w:r>
      <w:r w:rsidR="00014530">
        <w:fldChar w:fldCharType="begin"/>
      </w:r>
      <w:r w:rsidR="00014530">
        <w:instrText xml:space="preserve"> SEQ Table \* ARABIC </w:instrText>
      </w:r>
      <w:r w:rsidR="00014530">
        <w:fldChar w:fldCharType="separate"/>
      </w:r>
      <w:r w:rsidR="00D77066">
        <w:rPr>
          <w:noProof/>
        </w:rPr>
        <w:t>1</w:t>
      </w:r>
      <w:r w:rsidR="00014530">
        <w:rPr>
          <w:noProof/>
        </w:rPr>
        <w:fldChar w:fldCharType="end"/>
      </w:r>
      <w:r>
        <w:t>: Measure Summary Table</w:t>
      </w:r>
    </w:p>
    <w:p w14:paraId="469E3748" w14:textId="77777777" w:rsidR="009A2332" w:rsidRDefault="009A2332" w:rsidP="009A23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9"/>
        <w:gridCol w:w="6871"/>
      </w:tblGrid>
      <w:tr w:rsidR="009A2332" w14:paraId="3F9CA93E" w14:textId="77777777" w:rsidTr="00582585">
        <w:trPr>
          <w:trHeight w:val="576"/>
          <w:tblHeader/>
        </w:trPr>
        <w:tc>
          <w:tcPr>
            <w:tcW w:w="2479" w:type="dxa"/>
          </w:tcPr>
          <w:p w14:paraId="448E7296" w14:textId="39C7C9A2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Style w:val="Strong"/>
                <w:rFonts w:asciiTheme="minorHAnsi" w:hAnsiTheme="minorHAnsi"/>
                <w:sz w:val="28"/>
                <w:szCs w:val="22"/>
              </w:rPr>
              <w:t>Section</w:t>
            </w:r>
          </w:p>
        </w:tc>
        <w:tc>
          <w:tcPr>
            <w:tcW w:w="6871" w:type="dxa"/>
          </w:tcPr>
          <w:p w14:paraId="27CEB258" w14:textId="408F314E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Fonts w:cs="Arial"/>
                <w:b/>
                <w:sz w:val="28"/>
                <w:szCs w:val="20"/>
              </w:rPr>
              <w:t>Value</w:t>
            </w:r>
          </w:p>
        </w:tc>
      </w:tr>
      <w:tr w:rsidR="009A2332" w14:paraId="174B4A0E" w14:textId="77777777" w:rsidTr="00582585">
        <w:trPr>
          <w:trHeight w:val="576"/>
        </w:trPr>
        <w:tc>
          <w:tcPr>
            <w:tcW w:w="2479" w:type="dxa"/>
          </w:tcPr>
          <w:p w14:paraId="7815901A" w14:textId="4909828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Summary &amp; Purpose</w:t>
            </w:r>
          </w:p>
        </w:tc>
        <w:tc>
          <w:tcPr>
            <w:tcW w:w="6871" w:type="dxa"/>
          </w:tcPr>
          <w:p w14:paraId="334844BB" w14:textId="1861AF66" w:rsidR="005E64E8" w:rsidRDefault="005E64E8" w:rsidP="005E64E8">
            <w:r>
              <w:t xml:space="preserve">This short form </w:t>
            </w:r>
            <w:proofErr w:type="spellStart"/>
            <w:r>
              <w:t>workpaper</w:t>
            </w:r>
            <w:proofErr w:type="spellEnd"/>
            <w:r>
              <w:t xml:space="preserve"> documents ex-ante load impacts and cost-effectiveness values for </w:t>
            </w:r>
            <w:r w:rsidR="00EB7C2C" w:rsidRPr="00EB7C2C">
              <w:t>Commercial Electric Steamers</w:t>
            </w:r>
            <w:r>
              <w:t xml:space="preserve">. The scope includes </w:t>
            </w:r>
            <w:r w:rsidR="00506A1E">
              <w:t>the following measure category</w:t>
            </w:r>
            <w:r>
              <w:t>:</w:t>
            </w:r>
          </w:p>
          <w:p w14:paraId="0D5DC4F8" w14:textId="26EA87C9" w:rsidR="005E64E8" w:rsidRDefault="00506A1E" w:rsidP="005E64E8">
            <w:r w:rsidRPr="00506A1E">
              <w:rPr>
                <w:b/>
              </w:rPr>
              <w:t>FS-38502</w:t>
            </w:r>
            <w:r w:rsidR="005E64E8" w:rsidRPr="005E64E8">
              <w:rPr>
                <w:b/>
              </w:rPr>
              <w:t>:</w:t>
            </w:r>
            <w:r w:rsidR="005E64E8">
              <w:t xml:space="preserve"> </w:t>
            </w:r>
            <w:r w:rsidR="00EB7C2C" w:rsidRPr="00EB7C2C">
              <w:t>The commercial steam cooker must meet ENERGY STAR® specifications for energy efficiency or must have a tested heavy load potato cooking energy efficiency of 50% utilizing ASTM Standard F1484</w:t>
            </w:r>
            <w:r w:rsidR="005E64E8">
              <w:t xml:space="preserve">. </w:t>
            </w:r>
          </w:p>
          <w:p w14:paraId="64391789" w14:textId="77777777" w:rsidR="005E64E8" w:rsidRDefault="005E64E8" w:rsidP="005E64E8"/>
          <w:p w14:paraId="3F4C30E1" w14:textId="04011509" w:rsidR="009A2332" w:rsidRDefault="00EB7C2C" w:rsidP="005E64E8">
            <w:r w:rsidRPr="00EB7C2C">
              <w:t>The DEER database does not contain information on energy use or savings for an energy-efficient electric commercial steam cooker measure. The only reference in DEER for Commercial cooking equipment is for Estimated Useful Life.</w:t>
            </w:r>
            <w:r w:rsidR="005E64E8" w:rsidRPr="005E64E8">
              <w:t xml:space="preserve">  </w:t>
            </w:r>
            <w:r w:rsidR="009D3B46" w:rsidRPr="009D3B46">
              <w:t>This Work Paper is based on the calculation methods in ASTM Standard Test Method for the Performance of Steam Cookers (F1484),</w:t>
            </w:r>
            <w:r w:rsidR="009D3B46">
              <w:t xml:space="preserve"> which uses measured data under </w:t>
            </w:r>
            <w:r w:rsidR="009D3B46" w:rsidRPr="009D3B46">
              <w:t>preheat, idle, and heavy-load cooking conditions.</w:t>
            </w:r>
          </w:p>
          <w:p w14:paraId="6E463AD1" w14:textId="43AF8348" w:rsidR="005E64E8" w:rsidRDefault="005E64E8" w:rsidP="005E64E8"/>
        </w:tc>
      </w:tr>
      <w:tr w:rsidR="009A2332" w14:paraId="369C5B93" w14:textId="77777777" w:rsidTr="00582585">
        <w:trPr>
          <w:trHeight w:val="576"/>
        </w:trPr>
        <w:tc>
          <w:tcPr>
            <w:tcW w:w="2479" w:type="dxa"/>
          </w:tcPr>
          <w:p w14:paraId="3E64C4BE" w14:textId="768176D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1.1 Measure &amp; Baseline</w:t>
            </w:r>
          </w:p>
        </w:tc>
        <w:tc>
          <w:tcPr>
            <w:tcW w:w="6871" w:type="dxa"/>
          </w:tcPr>
          <w:p w14:paraId="3ADC75B4" w14:textId="37814535" w:rsidR="009A2332" w:rsidRDefault="00C01354" w:rsidP="009A2332">
            <w:r>
              <w:t>Please refer to Attachment #1 Calculation Templates for the list of measure solution codes and baseline condition.</w:t>
            </w:r>
          </w:p>
        </w:tc>
      </w:tr>
      <w:tr w:rsidR="009A2332" w14:paraId="7CE0AC9F" w14:textId="77777777" w:rsidTr="00582585">
        <w:trPr>
          <w:trHeight w:val="576"/>
        </w:trPr>
        <w:tc>
          <w:tcPr>
            <w:tcW w:w="2479" w:type="dxa"/>
          </w:tcPr>
          <w:p w14:paraId="2771E06F" w14:textId="3B991165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1.2 Technical Description</w:t>
            </w:r>
          </w:p>
        </w:tc>
        <w:tc>
          <w:tcPr>
            <w:tcW w:w="6871" w:type="dxa"/>
          </w:tcPr>
          <w:p w14:paraId="56BBC77B" w14:textId="77777777" w:rsidR="009A2332" w:rsidRDefault="009A2332" w:rsidP="009A2332"/>
        </w:tc>
      </w:tr>
      <w:tr w:rsidR="009A2332" w14:paraId="6A22A103" w14:textId="77777777" w:rsidTr="00582585">
        <w:trPr>
          <w:trHeight w:val="576"/>
        </w:trPr>
        <w:tc>
          <w:tcPr>
            <w:tcW w:w="2479" w:type="dxa"/>
          </w:tcPr>
          <w:p w14:paraId="524B4207" w14:textId="7A3D34FE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Measures</w:t>
            </w:r>
          </w:p>
        </w:tc>
        <w:tc>
          <w:tcPr>
            <w:tcW w:w="6871" w:type="dxa"/>
          </w:tcPr>
          <w:p w14:paraId="215877E8" w14:textId="2D8E5339" w:rsidR="00AA1118" w:rsidRDefault="00AA1118" w:rsidP="00AA1118">
            <w:r w:rsidRPr="00506A1E">
              <w:rPr>
                <w:b/>
              </w:rPr>
              <w:t>FS-38502</w:t>
            </w:r>
            <w:r w:rsidRPr="005E64E8">
              <w:rPr>
                <w:b/>
              </w:rPr>
              <w:t>:</w:t>
            </w:r>
            <w:r>
              <w:t xml:space="preserve"> </w:t>
            </w:r>
            <w:r w:rsidR="00F115B8">
              <w:t xml:space="preserve">Steam cooker, ENERGY STAR® </w:t>
            </w:r>
            <w:r w:rsidR="00283A64" w:rsidRPr="00283A64">
              <w:t>qualified</w:t>
            </w:r>
            <w:r>
              <w:t xml:space="preserve"> (PGE</w:t>
            </w:r>
            <w:r w:rsidR="00283A64">
              <w:t xml:space="preserve"> ID - F108)</w:t>
            </w:r>
          </w:p>
          <w:p w14:paraId="2BDEE734" w14:textId="59FCB3BB" w:rsidR="00AA1118" w:rsidRDefault="00AA1118" w:rsidP="00AA1118">
            <w:r w:rsidRPr="00EB7C2C">
              <w:t>The commercial steam cooker must meet ENERGY STAR® specifications for energy efficiency or must have a tested heavy load potato cooking energy efficiency of 50% utilizing ASTM Standard F1484</w:t>
            </w:r>
            <w:r>
              <w:t xml:space="preserve">. </w:t>
            </w:r>
          </w:p>
          <w:p w14:paraId="2C30E089" w14:textId="0783F102" w:rsidR="009A2332" w:rsidRDefault="009A2332" w:rsidP="009A2332"/>
        </w:tc>
      </w:tr>
      <w:tr w:rsidR="009A2332" w14:paraId="59049B71" w14:textId="77777777" w:rsidTr="00582585">
        <w:trPr>
          <w:trHeight w:val="576"/>
        </w:trPr>
        <w:tc>
          <w:tcPr>
            <w:tcW w:w="2479" w:type="dxa"/>
          </w:tcPr>
          <w:p w14:paraId="4D87E79A" w14:textId="1926E44B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Code for All Measures</w:t>
            </w:r>
          </w:p>
        </w:tc>
        <w:tc>
          <w:tcPr>
            <w:tcW w:w="6871" w:type="dxa"/>
          </w:tcPr>
          <w:p w14:paraId="4D00D823" w14:textId="72271304" w:rsidR="00C01354" w:rsidRDefault="00C01354" w:rsidP="00C01354">
            <w:r w:rsidRPr="00C01354">
              <w:rPr>
                <w:b/>
              </w:rPr>
              <w:t xml:space="preserve">California Title 20: </w:t>
            </w:r>
            <w:r w:rsidR="009D3B46" w:rsidRPr="009D3B46">
              <w:t>State of California Title 20 A</w:t>
            </w:r>
            <w:r w:rsidR="009D3B46">
              <w:t xml:space="preserve">ppliance Efficiency Regulation </w:t>
            </w:r>
            <w:r w:rsidR="009D3B46" w:rsidRPr="009D3B46">
              <w:t>has a category for cooking appliances, but commercial steam cookers are not included.</w:t>
            </w:r>
          </w:p>
          <w:p w14:paraId="1A37C5D0" w14:textId="77777777" w:rsidR="00C01354" w:rsidRDefault="00C01354" w:rsidP="00C01354"/>
          <w:p w14:paraId="78008B19" w14:textId="6B3D10B5" w:rsidR="00C01354" w:rsidRDefault="00C01354" w:rsidP="00C01354">
            <w:r w:rsidRPr="00C01354">
              <w:rPr>
                <w:b/>
              </w:rPr>
              <w:t>California Title 24:</w:t>
            </w:r>
            <w:r>
              <w:t xml:space="preserve"> </w:t>
            </w:r>
            <w:r w:rsidR="009D3B46" w:rsidRPr="009D3B46">
              <w:t>There are no State of California Title 24 Efficiency Regulation requirements for commercial steam cookers.</w:t>
            </w:r>
          </w:p>
          <w:p w14:paraId="68AC823E" w14:textId="77777777" w:rsidR="00C01354" w:rsidRDefault="00C01354" w:rsidP="00C01354"/>
          <w:p w14:paraId="71CCCDEB" w14:textId="55FE53F0" w:rsidR="009A2332" w:rsidRDefault="00C01354" w:rsidP="00C01354">
            <w:r w:rsidRPr="00C01354">
              <w:rPr>
                <w:b/>
              </w:rPr>
              <w:t>Federal:</w:t>
            </w:r>
            <w:r>
              <w:t xml:space="preserve"> There are no Federal energy efficiency requirements for </w:t>
            </w:r>
            <w:r w:rsidR="009D3B46" w:rsidRPr="009D3B46">
              <w:t>commercial steam cookers</w:t>
            </w:r>
            <w:r>
              <w:t>.</w:t>
            </w:r>
          </w:p>
        </w:tc>
      </w:tr>
      <w:tr w:rsidR="009A2332" w14:paraId="7696972E" w14:textId="77777777" w:rsidTr="00582585">
        <w:trPr>
          <w:trHeight w:val="576"/>
        </w:trPr>
        <w:tc>
          <w:tcPr>
            <w:tcW w:w="2479" w:type="dxa"/>
          </w:tcPr>
          <w:p w14:paraId="20CC2D9F" w14:textId="0410DA01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Requirements</w:t>
            </w:r>
          </w:p>
        </w:tc>
        <w:tc>
          <w:tcPr>
            <w:tcW w:w="6871" w:type="dxa"/>
          </w:tcPr>
          <w:p w14:paraId="37D17244" w14:textId="7492F6E9" w:rsidR="00F115B8" w:rsidRDefault="00C01354" w:rsidP="00597393">
            <w:pPr>
              <w:pStyle w:val="ListParagraph"/>
              <w:numPr>
                <w:ilvl w:val="0"/>
                <w:numId w:val="43"/>
              </w:numPr>
            </w:pPr>
            <w:r w:rsidRPr="00C01354">
              <w:t xml:space="preserve">This measure </w:t>
            </w:r>
            <w:r>
              <w:t>must include</w:t>
            </w:r>
            <w:r w:rsidRPr="00C01354">
              <w:t xml:space="preserve"> </w:t>
            </w:r>
            <w:r w:rsidR="009D3B46" w:rsidRPr="009D3B46">
              <w:t>new commercial steam cookers that are</w:t>
            </w:r>
            <w:r w:rsidR="00F115B8">
              <w:t xml:space="preserve"> ENERGY STAR® qualified or have a cooking-energy efficiency of </w:t>
            </w:r>
            <w:r w:rsidR="009D3B46" w:rsidRPr="009D3B46">
              <w:t>≥ 50%</w:t>
            </w:r>
            <w:r w:rsidR="00F115B8">
              <w:t xml:space="preserve"> as per Table 1 of the </w:t>
            </w:r>
            <w:r w:rsidR="00F115B8" w:rsidRPr="00F115B8">
              <w:rPr>
                <w:rFonts w:cstheme="minorHAnsi"/>
                <w:szCs w:val="22"/>
              </w:rPr>
              <w:t xml:space="preserve">PGECOFST104 R6. </w:t>
            </w:r>
            <w:r w:rsidR="009D3B46" w:rsidRPr="009D3B46">
              <w:t xml:space="preserve"> The qualifications were developed by the California Investor Owned Utilities: </w:t>
            </w:r>
            <w:hyperlink r:id="rId10" w:history="1">
              <w:r w:rsidR="009D3B46" w:rsidRPr="00554069">
                <w:rPr>
                  <w:rStyle w:val="Hyperlink"/>
                </w:rPr>
                <w:t>http://www.fishnick.com/saveenergy/rebates/2015_CFS_Rebate_Criteria-updated_20150714.pdf</w:t>
              </w:r>
            </w:hyperlink>
            <w:r w:rsidR="009D3B46" w:rsidRPr="009D3B46">
              <w:t xml:space="preserve">.  </w:t>
            </w:r>
          </w:p>
          <w:p w14:paraId="68E3859F" w14:textId="77777777" w:rsidR="00F115B8" w:rsidRDefault="009D3B46" w:rsidP="00F115B8">
            <w:pPr>
              <w:pStyle w:val="ListParagraph"/>
              <w:numPr>
                <w:ilvl w:val="0"/>
                <w:numId w:val="43"/>
              </w:numPr>
            </w:pPr>
            <w:r w:rsidRPr="009D3B46">
              <w:t xml:space="preserve">Used or rebuilt equipment is not eligible. </w:t>
            </w:r>
          </w:p>
          <w:p w14:paraId="53FEF1FF" w14:textId="7B8A1407" w:rsidR="009A2332" w:rsidRDefault="009D3B46" w:rsidP="00F115B8">
            <w:pPr>
              <w:pStyle w:val="ListParagraph"/>
              <w:numPr>
                <w:ilvl w:val="0"/>
                <w:numId w:val="43"/>
              </w:numPr>
            </w:pPr>
            <w:r w:rsidRPr="009D3B46">
              <w:t>Customers must provide proof that the appliance has a cooking-energy efficiency that meets the requirements listed below.</w:t>
            </w:r>
          </w:p>
        </w:tc>
      </w:tr>
      <w:tr w:rsidR="009A2332" w14:paraId="40AF0DB1" w14:textId="77777777" w:rsidTr="00582585">
        <w:trPr>
          <w:trHeight w:val="576"/>
        </w:trPr>
        <w:tc>
          <w:tcPr>
            <w:tcW w:w="2479" w:type="dxa"/>
          </w:tcPr>
          <w:p w14:paraId="0A32ADDC" w14:textId="15881A2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1.3 Installation Type and Delivery Mechanisms</w:t>
            </w:r>
          </w:p>
        </w:tc>
        <w:tc>
          <w:tcPr>
            <w:tcW w:w="6871" w:type="dxa"/>
          </w:tcPr>
          <w:p w14:paraId="554484FF" w14:textId="77777777" w:rsidR="009A2332" w:rsidRDefault="009A2332" w:rsidP="009A2332"/>
        </w:tc>
      </w:tr>
      <w:tr w:rsidR="009A2332" w14:paraId="5D5B8844" w14:textId="77777777" w:rsidTr="00582585">
        <w:trPr>
          <w:trHeight w:val="576"/>
        </w:trPr>
        <w:tc>
          <w:tcPr>
            <w:tcW w:w="2479" w:type="dxa"/>
          </w:tcPr>
          <w:p w14:paraId="75A73897" w14:textId="21601014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Installation Type</w:t>
            </w:r>
          </w:p>
        </w:tc>
        <w:tc>
          <w:tcPr>
            <w:tcW w:w="6871" w:type="dxa"/>
          </w:tcPr>
          <w:p w14:paraId="0972861F" w14:textId="77777777" w:rsidR="009A2332" w:rsidRDefault="00A30BBB" w:rsidP="009A2332">
            <w:r w:rsidRPr="00A30BBB">
              <w:t>Replace on Burnout</w:t>
            </w:r>
            <w:r>
              <w:t xml:space="preserve"> (ROB)</w:t>
            </w:r>
          </w:p>
          <w:p w14:paraId="2B32F7DC" w14:textId="283E5BE6" w:rsidR="00A30BBB" w:rsidRDefault="00465DA6" w:rsidP="009A2332">
            <w:r w:rsidRPr="00E43B71">
              <w:t>New Construction (NEW/NC)</w:t>
            </w:r>
          </w:p>
        </w:tc>
      </w:tr>
      <w:tr w:rsidR="009A2332" w14:paraId="3CF006A0" w14:textId="77777777" w:rsidTr="00582585">
        <w:trPr>
          <w:trHeight w:val="576"/>
        </w:trPr>
        <w:tc>
          <w:tcPr>
            <w:tcW w:w="2479" w:type="dxa"/>
          </w:tcPr>
          <w:p w14:paraId="548E0861" w14:textId="09900E89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Delivery Mechanisms</w:t>
            </w:r>
          </w:p>
        </w:tc>
        <w:tc>
          <w:tcPr>
            <w:tcW w:w="6871" w:type="dxa"/>
          </w:tcPr>
          <w:p w14:paraId="40787981" w14:textId="7ED92003" w:rsidR="007C62CE" w:rsidRDefault="00A017C8" w:rsidP="007C62CE">
            <w:pPr>
              <w:rPr>
                <w:szCs w:val="22"/>
              </w:rPr>
            </w:pPr>
            <w:r w:rsidRPr="007C62CE">
              <w:rPr>
                <w:szCs w:val="22"/>
              </w:rPr>
              <w:t>Financial Support: Down-Stream Incentive – Deemed</w:t>
            </w:r>
          </w:p>
          <w:p w14:paraId="67E45078" w14:textId="6AADFFA9" w:rsidR="00A30BBB" w:rsidRPr="007C62CE" w:rsidRDefault="007C62CE" w:rsidP="00465DA6">
            <w:pPr>
              <w:rPr>
                <w:szCs w:val="22"/>
              </w:rPr>
            </w:pPr>
            <w:r w:rsidRPr="007C62CE">
              <w:rPr>
                <w:szCs w:val="22"/>
              </w:rPr>
              <w:t>Mid-Stream Programs: Mid-Stream Incentive</w:t>
            </w:r>
          </w:p>
        </w:tc>
      </w:tr>
      <w:tr w:rsidR="009A2332" w14:paraId="09F7817D" w14:textId="77777777" w:rsidTr="00582585">
        <w:trPr>
          <w:trHeight w:val="576"/>
        </w:trPr>
        <w:tc>
          <w:tcPr>
            <w:tcW w:w="2479" w:type="dxa"/>
          </w:tcPr>
          <w:p w14:paraId="68DCF28E" w14:textId="61DEE361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1.4.1 DEER Data</w:t>
            </w:r>
          </w:p>
        </w:tc>
        <w:tc>
          <w:tcPr>
            <w:tcW w:w="6871" w:type="dxa"/>
          </w:tcPr>
          <w:p w14:paraId="7F520E32" w14:textId="77777777" w:rsidR="009A2332" w:rsidRPr="007C62CE" w:rsidRDefault="009A2332" w:rsidP="009A2332">
            <w:pPr>
              <w:rPr>
                <w:szCs w:val="22"/>
              </w:rPr>
            </w:pPr>
          </w:p>
        </w:tc>
      </w:tr>
      <w:tr w:rsidR="009A2332" w14:paraId="51073860" w14:textId="77777777" w:rsidTr="00582585">
        <w:trPr>
          <w:trHeight w:val="576"/>
        </w:trPr>
        <w:tc>
          <w:tcPr>
            <w:tcW w:w="2479" w:type="dxa"/>
          </w:tcPr>
          <w:p w14:paraId="07705888" w14:textId="718A29C7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Net-Gross-Ratio</w:t>
            </w:r>
          </w:p>
        </w:tc>
        <w:tc>
          <w:tcPr>
            <w:tcW w:w="6871" w:type="dxa"/>
          </w:tcPr>
          <w:p w14:paraId="0889228A" w14:textId="396D6CFC" w:rsidR="00A30BBB" w:rsidRDefault="00A30BBB" w:rsidP="009A2332">
            <w:r>
              <w:t xml:space="preserve">NTD ID: </w:t>
            </w:r>
            <w:r w:rsidRPr="00A30BBB">
              <w:t>Com-Default&gt;2yrs</w:t>
            </w:r>
            <w:r>
              <w:t xml:space="preserve"> </w:t>
            </w:r>
          </w:p>
          <w:p w14:paraId="7C01181E" w14:textId="35FACC33" w:rsidR="009A2332" w:rsidRDefault="00A30BBB" w:rsidP="009A2332">
            <w:r>
              <w:t>NTG Value: 0.6</w:t>
            </w:r>
          </w:p>
        </w:tc>
      </w:tr>
      <w:tr w:rsidR="009A2332" w14:paraId="7A4E17C4" w14:textId="77777777" w:rsidTr="00582585">
        <w:trPr>
          <w:trHeight w:val="576"/>
        </w:trPr>
        <w:tc>
          <w:tcPr>
            <w:tcW w:w="2479" w:type="dxa"/>
          </w:tcPr>
          <w:p w14:paraId="08063215" w14:textId="5C719A0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Effective and Remaining Useful Life</w:t>
            </w:r>
          </w:p>
        </w:tc>
        <w:tc>
          <w:tcPr>
            <w:tcW w:w="6871" w:type="dxa"/>
          </w:tcPr>
          <w:p w14:paraId="07131647" w14:textId="51014435" w:rsidR="009A2332" w:rsidRDefault="00A30BBB" w:rsidP="009A2332">
            <w:r>
              <w:t xml:space="preserve">EUL ID: </w:t>
            </w:r>
            <w:r w:rsidR="007201CE" w:rsidRPr="007201CE">
              <w:t xml:space="preserve">Cook- </w:t>
            </w:r>
            <w:proofErr w:type="spellStart"/>
            <w:r w:rsidR="007201CE" w:rsidRPr="007201CE">
              <w:t>ElecStmCooker</w:t>
            </w:r>
            <w:proofErr w:type="spellEnd"/>
          </w:p>
          <w:p w14:paraId="024A653C" w14:textId="4E9EDA1F" w:rsidR="00A30BBB" w:rsidRDefault="00A30BBB" w:rsidP="009A2332">
            <w:r>
              <w:t>Source: DEER 201</w:t>
            </w:r>
            <w:r w:rsidR="007201CE">
              <w:t>4</w:t>
            </w:r>
          </w:p>
          <w:p w14:paraId="70BC13BC" w14:textId="0B7DA28A" w:rsidR="00A30BBB" w:rsidRDefault="00A30BBB" w:rsidP="009A2332">
            <w:r>
              <w:t>EUL: 12 Years</w:t>
            </w:r>
            <w:r w:rsidR="001B7BC5">
              <w:t>; RUL: 4 Years</w:t>
            </w:r>
          </w:p>
        </w:tc>
      </w:tr>
      <w:tr w:rsidR="009A2332" w14:paraId="7C928286" w14:textId="77777777" w:rsidTr="00582585">
        <w:trPr>
          <w:trHeight w:val="576"/>
        </w:trPr>
        <w:tc>
          <w:tcPr>
            <w:tcW w:w="2479" w:type="dxa"/>
          </w:tcPr>
          <w:p w14:paraId="6ECE75DB" w14:textId="7B1A4E30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2. Calculation Methodology</w:t>
            </w:r>
          </w:p>
        </w:tc>
        <w:tc>
          <w:tcPr>
            <w:tcW w:w="6871" w:type="dxa"/>
          </w:tcPr>
          <w:p w14:paraId="018C407C" w14:textId="77777777" w:rsidR="009A2332" w:rsidRDefault="009A2332" w:rsidP="009A2332"/>
        </w:tc>
      </w:tr>
      <w:tr w:rsidR="009A2332" w14:paraId="2060FD54" w14:textId="77777777" w:rsidTr="00582585">
        <w:trPr>
          <w:trHeight w:val="576"/>
        </w:trPr>
        <w:tc>
          <w:tcPr>
            <w:tcW w:w="2479" w:type="dxa"/>
          </w:tcPr>
          <w:p w14:paraId="768E3560" w14:textId="7844934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Energy savings/Peak Demand Reduction – All Measures</w:t>
            </w:r>
          </w:p>
        </w:tc>
        <w:tc>
          <w:tcPr>
            <w:tcW w:w="6871" w:type="dxa"/>
          </w:tcPr>
          <w:p w14:paraId="6DD12FEB" w14:textId="5850C77B" w:rsidR="009A2332" w:rsidRDefault="007201CE" w:rsidP="009A2332">
            <w:r w:rsidRPr="007201CE">
              <w:t xml:space="preserve">The DEER database does not contain information on energy use or savings for an energy-efficient electric commercial steam cooker measure. The only reference in DEER for Commercial cooking equipment is for Estimated Useful Life.  This </w:t>
            </w:r>
            <w:r w:rsidR="007A0885">
              <w:t>work paper</w:t>
            </w:r>
            <w:r w:rsidRPr="007201CE">
              <w:t xml:space="preserve"> is based on the calculation methods in ASTM Standard Test Method for the Performance of Steam Cookers (F1484), which uses measured data under preheat, idle, and heavy-load cooking conditions.</w:t>
            </w:r>
          </w:p>
          <w:p w14:paraId="736A90F7" w14:textId="77777777" w:rsidR="003D1504" w:rsidRDefault="003D1504" w:rsidP="009A2332"/>
          <w:p w14:paraId="5A483C2E" w14:textId="75D939AC" w:rsidR="003D1504" w:rsidRDefault="003D1504" w:rsidP="009A2332">
            <w:r>
              <w:t xml:space="preserve">The </w:t>
            </w:r>
            <w:r w:rsidRPr="003D1504">
              <w:t>ASTM performance parameters for baseline equipment were drawn from a sample of economy grade equipment tested by the Food Service Technology Center and is summarized in Table 6</w:t>
            </w:r>
            <w:r>
              <w:t xml:space="preserve"> of </w:t>
            </w:r>
            <w:r w:rsidRPr="00F115B8">
              <w:rPr>
                <w:rFonts w:cstheme="minorHAnsi"/>
                <w:szCs w:val="22"/>
              </w:rPr>
              <w:t>PGECOFST104 R6</w:t>
            </w:r>
            <w:r w:rsidRPr="003D1504">
              <w:t>.</w:t>
            </w:r>
            <w:r>
              <w:t xml:space="preserve"> </w:t>
            </w:r>
            <w:r w:rsidRPr="003D1504">
              <w:t>The baseline steam cooker data is based on Gas Boiler Based Atmospheric steamers and Electric Steam Generator steamers.</w:t>
            </w:r>
            <w:r>
              <w:t xml:space="preserve"> </w:t>
            </w:r>
            <w:r w:rsidRPr="003D1504">
              <w:t>The measure case data was drawn from the list of commercial steamers that have been tes</w:t>
            </w:r>
            <w:r>
              <w:t xml:space="preserve">ted by IOU testing laboratories and is summarized in Table 7 of </w:t>
            </w:r>
            <w:r w:rsidRPr="00F115B8">
              <w:rPr>
                <w:rFonts w:cstheme="minorHAnsi"/>
                <w:szCs w:val="22"/>
              </w:rPr>
              <w:t>PGECOFST104 R6</w:t>
            </w:r>
            <w:r>
              <w:rPr>
                <w:rFonts w:cstheme="minorHAnsi"/>
                <w:szCs w:val="22"/>
              </w:rPr>
              <w:t>.</w:t>
            </w:r>
          </w:p>
          <w:p w14:paraId="788BB02F" w14:textId="77777777" w:rsidR="003D1504" w:rsidRDefault="003D1504" w:rsidP="009A2332"/>
          <w:p w14:paraId="38268F6E" w14:textId="2E019998" w:rsidR="001B7BC5" w:rsidRDefault="001B7BC5" w:rsidP="001B7BC5">
            <w:pPr>
              <w:rPr>
                <w:szCs w:val="22"/>
              </w:rPr>
            </w:pPr>
            <w:r w:rsidRPr="00860C15">
              <w:rPr>
                <w:szCs w:val="22"/>
              </w:rPr>
              <w:t>The demand reduction estimation is based on measured data for standard efficiency electric steamers and for high efficiency steamers that meet Energy</w:t>
            </w:r>
            <w:r w:rsidR="007A0885">
              <w:rPr>
                <w:szCs w:val="22"/>
              </w:rPr>
              <w:t xml:space="preserve"> </w:t>
            </w:r>
            <w:r w:rsidRPr="00860C15">
              <w:rPr>
                <w:szCs w:val="22"/>
              </w:rPr>
              <w:t>Star requirements (greater than 50% cooking efficiency). The measured data are derived from tests conducted under ASTM Standard Test Method for the Performance of Steam Cookers (F1484).</w:t>
            </w:r>
          </w:p>
          <w:p w14:paraId="0A4C5A45" w14:textId="77777777" w:rsidR="00D77066" w:rsidRDefault="00D77066" w:rsidP="001B7BC5">
            <w:pPr>
              <w:rPr>
                <w:szCs w:val="22"/>
              </w:rPr>
            </w:pPr>
          </w:p>
          <w:p w14:paraId="2E2FC28A" w14:textId="6119BBEC" w:rsidR="00D77066" w:rsidRDefault="00D77066" w:rsidP="001B7BC5">
            <w:pPr>
              <w:rPr>
                <w:szCs w:val="22"/>
              </w:rPr>
            </w:pPr>
            <w:r w:rsidRPr="00D77066">
              <w:rPr>
                <w:szCs w:val="22"/>
              </w:rPr>
              <w:t xml:space="preserve">The UES (Unit Energy Savings) savings </w:t>
            </w:r>
            <w:r>
              <w:rPr>
                <w:szCs w:val="22"/>
              </w:rPr>
              <w:t>were</w:t>
            </w:r>
            <w:r w:rsidRPr="00D77066">
              <w:rPr>
                <w:szCs w:val="22"/>
              </w:rPr>
              <w:t xml:space="preserve"> adjusted based on Decision 11-07-030, and comments in Attachment A, which stated “Energy Division believes that operating hours, food production rates and baseline efficiencies contribute to overly optimistic UES calculations and recommend a 30% reduction in UES values”. Therefore the final claimable UES numbers are adjusted down 30% and </w:t>
            </w:r>
            <w:r>
              <w:rPr>
                <w:szCs w:val="22"/>
              </w:rPr>
              <w:t xml:space="preserve">provided in Table 10 of </w:t>
            </w:r>
            <w:r w:rsidRPr="00F115B8">
              <w:rPr>
                <w:rFonts w:cstheme="minorHAnsi"/>
                <w:szCs w:val="22"/>
              </w:rPr>
              <w:t>PGECOFST104 R6</w:t>
            </w:r>
            <w:r>
              <w:rPr>
                <w:rFonts w:cstheme="minorHAnsi"/>
                <w:szCs w:val="22"/>
              </w:rPr>
              <w:t>.</w:t>
            </w:r>
          </w:p>
          <w:p w14:paraId="792723A5" w14:textId="77777777" w:rsidR="002216A9" w:rsidRDefault="002216A9" w:rsidP="001B7BC5">
            <w:pPr>
              <w:rPr>
                <w:szCs w:val="22"/>
              </w:rPr>
            </w:pPr>
          </w:p>
          <w:p w14:paraId="48A295FE" w14:textId="3527C375" w:rsidR="001B7BC5" w:rsidRDefault="002216A9" w:rsidP="002216A9">
            <w:r>
              <w:rPr>
                <w:szCs w:val="22"/>
              </w:rPr>
              <w:t>P</w:t>
            </w:r>
            <w:r w:rsidR="00D77066">
              <w:rPr>
                <w:szCs w:val="22"/>
              </w:rPr>
              <w:t xml:space="preserve">lease refer to Section 2 of </w:t>
            </w:r>
            <w:r w:rsidRPr="00F115B8">
              <w:rPr>
                <w:rFonts w:cstheme="minorHAnsi"/>
                <w:szCs w:val="22"/>
              </w:rPr>
              <w:t>PGECOFST104 R6</w:t>
            </w:r>
            <w:r>
              <w:rPr>
                <w:rFonts w:cstheme="minorHAnsi"/>
                <w:szCs w:val="22"/>
              </w:rPr>
              <w:t xml:space="preserve"> for additional details and examples.</w:t>
            </w:r>
          </w:p>
        </w:tc>
      </w:tr>
      <w:tr w:rsidR="009A2332" w14:paraId="79416F6B" w14:textId="77777777" w:rsidTr="00582585">
        <w:trPr>
          <w:trHeight w:val="576"/>
        </w:trPr>
        <w:tc>
          <w:tcPr>
            <w:tcW w:w="2479" w:type="dxa"/>
          </w:tcPr>
          <w:p w14:paraId="63B2A37F" w14:textId="79D3BD2C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3. Load Shapes</w:t>
            </w:r>
          </w:p>
        </w:tc>
        <w:tc>
          <w:tcPr>
            <w:tcW w:w="6871" w:type="dxa"/>
          </w:tcPr>
          <w:p w14:paraId="1B70A090" w14:textId="77777777" w:rsidR="009A2332" w:rsidRDefault="00162189" w:rsidP="009A2332">
            <w:proofErr w:type="spellStart"/>
            <w:r w:rsidRPr="00162189">
              <w:t>DEER:Indoor_Non-CFL_Ltg</w:t>
            </w:r>
            <w:proofErr w:type="spellEnd"/>
          </w:p>
          <w:p w14:paraId="4ACC87A2" w14:textId="77777777" w:rsidR="002216A9" w:rsidRDefault="002216A9" w:rsidP="009A2332"/>
          <w:p w14:paraId="573722DD" w14:textId="4CAEBE55" w:rsidR="002216A9" w:rsidRDefault="002216A9" w:rsidP="002216A9">
            <w:r w:rsidRPr="002216A9">
              <w:t xml:space="preserve">The load shape for commercial </w:t>
            </w:r>
            <w:r>
              <w:t>electric steamers</w:t>
            </w:r>
            <w:r w:rsidRPr="002216A9">
              <w:t xml:space="preserve"> differ among food service facilities depending on daily menu variations, hours of operation, serving periods, day-of-week, and facility location.</w:t>
            </w:r>
          </w:p>
        </w:tc>
      </w:tr>
      <w:tr w:rsidR="009A2332" w14:paraId="0E2DA162" w14:textId="77777777" w:rsidTr="00582585">
        <w:trPr>
          <w:trHeight w:val="576"/>
        </w:trPr>
        <w:tc>
          <w:tcPr>
            <w:tcW w:w="2479" w:type="dxa"/>
          </w:tcPr>
          <w:p w14:paraId="17E265C7" w14:textId="4B0D36D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 Costs</w:t>
            </w:r>
          </w:p>
        </w:tc>
        <w:tc>
          <w:tcPr>
            <w:tcW w:w="6871" w:type="dxa"/>
          </w:tcPr>
          <w:p w14:paraId="636754D0" w14:textId="7B136C72" w:rsidR="009A2332" w:rsidRDefault="009A2332" w:rsidP="009A2332"/>
        </w:tc>
      </w:tr>
      <w:tr w:rsidR="009A2332" w14:paraId="00EA9279" w14:textId="77777777" w:rsidTr="00582585">
        <w:trPr>
          <w:trHeight w:val="576"/>
        </w:trPr>
        <w:tc>
          <w:tcPr>
            <w:tcW w:w="2479" w:type="dxa"/>
          </w:tcPr>
          <w:p w14:paraId="448F5A7F" w14:textId="54FDF208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4.1 Base and Measure Costs</w:t>
            </w:r>
          </w:p>
        </w:tc>
        <w:tc>
          <w:tcPr>
            <w:tcW w:w="6871" w:type="dxa"/>
          </w:tcPr>
          <w:p w14:paraId="4A8F9241" w14:textId="4F6F4769" w:rsidR="009A2332" w:rsidRDefault="002216A9" w:rsidP="009A2332">
            <w:r w:rsidRPr="00162189">
              <w:t>Please refer to Attachment #1 Calculation Templates for detailed baseline and measure costs.</w:t>
            </w:r>
          </w:p>
        </w:tc>
      </w:tr>
    </w:tbl>
    <w:p w14:paraId="31A3A294" w14:textId="77777777" w:rsidR="009A2332" w:rsidRPr="009A2332" w:rsidRDefault="009A2332" w:rsidP="009A2332"/>
    <w:p w14:paraId="7BF529A5" w14:textId="2313433B" w:rsidR="00DE597F" w:rsidRPr="00654F32" w:rsidRDefault="00654F32" w:rsidP="00DE597F">
      <w:pPr>
        <w:rPr>
          <w:rFonts w:cs="Arial"/>
          <w:b/>
          <w:sz w:val="44"/>
          <w:szCs w:val="44"/>
        </w:rPr>
      </w:pPr>
      <w:r w:rsidRPr="00654F32">
        <w:rPr>
          <w:rFonts w:cs="Arial"/>
          <w:b/>
          <w:sz w:val="44"/>
          <w:szCs w:val="44"/>
        </w:rPr>
        <w:t>Attachments:</w:t>
      </w:r>
    </w:p>
    <w:p w14:paraId="2290AB95" w14:textId="77777777" w:rsidR="00654F32" w:rsidRPr="00DE597F" w:rsidRDefault="00654F32" w:rsidP="00DE597F">
      <w:pPr>
        <w:rPr>
          <w:rFonts w:cs="Arial"/>
          <w:szCs w:val="22"/>
        </w:rPr>
      </w:pPr>
    </w:p>
    <w:p w14:paraId="14781C8D" w14:textId="33A43710" w:rsidR="00083EDC" w:rsidRPr="00E86D2F" w:rsidRDefault="00654F32" w:rsidP="00E86D2F">
      <w:pPr>
        <w:pStyle w:val="ListParagraph"/>
        <w:numPr>
          <w:ilvl w:val="0"/>
          <w:numId w:val="44"/>
        </w:numPr>
        <w:spacing w:after="200" w:line="276" w:lineRule="auto"/>
        <w:rPr>
          <w:b/>
          <w:szCs w:val="20"/>
        </w:rPr>
      </w:pPr>
      <w:r w:rsidRPr="00E86D2F">
        <w:rPr>
          <w:b/>
          <w:szCs w:val="20"/>
        </w:rPr>
        <w:t xml:space="preserve">A1 </w:t>
      </w:r>
      <w:r w:rsidR="00014530">
        <w:rPr>
          <w:b/>
          <w:szCs w:val="20"/>
        </w:rPr>
        <w:t xml:space="preserve">SCE17CC002.0 </w:t>
      </w:r>
      <w:bookmarkStart w:id="3" w:name="_GoBack"/>
      <w:bookmarkEnd w:id="3"/>
      <w:r w:rsidR="009A2332" w:rsidRPr="00E86D2F">
        <w:rPr>
          <w:b/>
          <w:szCs w:val="20"/>
        </w:rPr>
        <w:t>Calculation Workbook</w:t>
      </w:r>
      <w:bookmarkEnd w:id="1"/>
    </w:p>
    <w:sectPr w:rsidR="00083EDC" w:rsidRPr="00E86D2F" w:rsidSect="00603A34">
      <w:footerReference w:type="default" r:id="rId11"/>
      <w:pgSz w:w="12240" w:h="15840"/>
      <w:pgMar w:top="1440" w:right="1440" w:bottom="1557" w:left="1440" w:header="720" w:footer="720" w:gutter="0"/>
      <w:pgNumType w:fmt="lowerRoman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585B85" w15:done="0"/>
  <w15:commentEx w15:paraId="45B6FEF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AE5508" w14:textId="77777777" w:rsidR="000413D7" w:rsidRDefault="000413D7" w:rsidP="00447D6E">
      <w:r>
        <w:separator/>
      </w:r>
    </w:p>
    <w:p w14:paraId="610104E5" w14:textId="77777777" w:rsidR="000413D7" w:rsidRDefault="000413D7"/>
  </w:endnote>
  <w:endnote w:type="continuationSeparator" w:id="0">
    <w:p w14:paraId="66940B0D" w14:textId="77777777" w:rsidR="000413D7" w:rsidRDefault="000413D7" w:rsidP="00447D6E">
      <w:r>
        <w:continuationSeparator/>
      </w:r>
    </w:p>
    <w:p w14:paraId="5878E722" w14:textId="77777777" w:rsidR="000413D7" w:rsidRDefault="000413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93419" w14:textId="4C5130EE" w:rsidR="00F30167" w:rsidRPr="009500DC" w:rsidRDefault="00014530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75309839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B7C2C">
          <w:rPr>
            <w:rFonts w:cstheme="minorHAnsi"/>
            <w:b/>
            <w:sz w:val="20"/>
            <w:szCs w:val="20"/>
          </w:rPr>
          <w:t>SCE17CC002</w:t>
        </w:r>
      </w:sdtContent>
    </w:sdt>
    <w:r w:rsidR="00F30167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B54CF5">
          <w:rPr>
            <w:rFonts w:cstheme="minorHAnsi"/>
            <w:b/>
            <w:sz w:val="20"/>
            <w:szCs w:val="20"/>
          </w:rPr>
          <w:t>Revision 0</w:t>
        </w:r>
      </w:sdtContent>
    </w:sdt>
    <w:r w:rsidR="00F30167" w:rsidRPr="009500DC">
      <w:rPr>
        <w:rFonts w:cstheme="minorHAnsi"/>
        <w:b/>
        <w:sz w:val="20"/>
        <w:szCs w:val="20"/>
      </w:rPr>
      <w:tab/>
    </w:r>
    <w:r w:rsidR="00F30167" w:rsidRPr="009500DC">
      <w:rPr>
        <w:rFonts w:cstheme="minorHAnsi"/>
        <w:b/>
        <w:sz w:val="20"/>
        <w:szCs w:val="20"/>
      </w:rPr>
      <w:fldChar w:fldCharType="begin"/>
    </w:r>
    <w:r w:rsidR="00F30167" w:rsidRPr="009500DC">
      <w:rPr>
        <w:rFonts w:cstheme="minorHAnsi"/>
        <w:b/>
        <w:sz w:val="20"/>
        <w:szCs w:val="20"/>
      </w:rPr>
      <w:instrText xml:space="preserve"> PAGE   \* MERGEFORMAT </w:instrText>
    </w:r>
    <w:r w:rsidR="00F30167" w:rsidRPr="009500DC">
      <w:rPr>
        <w:rFonts w:cstheme="minorHAnsi"/>
        <w:b/>
        <w:sz w:val="20"/>
        <w:szCs w:val="20"/>
      </w:rPr>
      <w:fldChar w:fldCharType="separate"/>
    </w:r>
    <w:r>
      <w:rPr>
        <w:rFonts w:cstheme="minorHAnsi"/>
        <w:b/>
        <w:noProof/>
        <w:sz w:val="20"/>
        <w:szCs w:val="20"/>
      </w:rPr>
      <w:t>v</w:t>
    </w:r>
    <w:r w:rsidR="00F30167" w:rsidRPr="009500DC">
      <w:rPr>
        <w:rFonts w:cstheme="minorHAnsi"/>
        <w:b/>
        <w:noProof/>
        <w:sz w:val="20"/>
        <w:szCs w:val="20"/>
      </w:rPr>
      <w:fldChar w:fldCharType="end"/>
    </w:r>
    <w:r w:rsidR="00F30167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7-11-29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1C6D82">
          <w:rPr>
            <w:rFonts w:cstheme="minorHAnsi"/>
            <w:b/>
            <w:sz w:val="20"/>
            <w:szCs w:val="20"/>
          </w:rPr>
          <w:t>November 29</w:t>
        </w:r>
        <w:r w:rsidR="00EB7C2C">
          <w:rPr>
            <w:rFonts w:cstheme="minorHAnsi"/>
            <w:b/>
            <w:sz w:val="20"/>
            <w:szCs w:val="20"/>
          </w:rPr>
          <w:t>, 2017</w:t>
        </w:r>
      </w:sdtContent>
    </w:sdt>
  </w:p>
  <w:p w14:paraId="43C07EA5" w14:textId="544E4323" w:rsidR="00F30167" w:rsidRPr="009500DC" w:rsidRDefault="00014530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30167">
          <w:rPr>
            <w:rFonts w:cstheme="minorHAnsi"/>
            <w:b/>
            <w:sz w:val="20"/>
            <w:szCs w:val="20"/>
          </w:rPr>
          <w:t>Southern California Edison</w:t>
        </w:r>
      </w:sdtContent>
    </w:sdt>
  </w:p>
  <w:p w14:paraId="4AC7586E" w14:textId="77777777" w:rsidR="00F30167" w:rsidRDefault="00F30167"/>
  <w:p w14:paraId="5C9861A8" w14:textId="77777777" w:rsidR="00F30167" w:rsidRDefault="00F301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6DD837" w14:textId="77777777" w:rsidR="000413D7" w:rsidRDefault="000413D7" w:rsidP="00447D6E">
      <w:r>
        <w:separator/>
      </w:r>
    </w:p>
    <w:p w14:paraId="390C9823" w14:textId="77777777" w:rsidR="000413D7" w:rsidRDefault="000413D7"/>
  </w:footnote>
  <w:footnote w:type="continuationSeparator" w:id="0">
    <w:p w14:paraId="1F156C9F" w14:textId="77777777" w:rsidR="000413D7" w:rsidRDefault="000413D7" w:rsidP="00447D6E">
      <w:r>
        <w:continuationSeparator/>
      </w:r>
    </w:p>
    <w:p w14:paraId="13F4E136" w14:textId="77777777" w:rsidR="000413D7" w:rsidRDefault="000413D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D74AD"/>
    <w:multiLevelType w:val="hybridMultilevel"/>
    <w:tmpl w:val="B9BCD416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>
    <w:nsid w:val="0C6F2384"/>
    <w:multiLevelType w:val="hybridMultilevel"/>
    <w:tmpl w:val="7D3CF5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8E47C5"/>
    <w:multiLevelType w:val="hybridMultilevel"/>
    <w:tmpl w:val="1D94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70A78"/>
    <w:multiLevelType w:val="hybridMultilevel"/>
    <w:tmpl w:val="23BA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892702"/>
    <w:multiLevelType w:val="hybridMultilevel"/>
    <w:tmpl w:val="85684AB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7">
    <w:nsid w:val="1C37292C"/>
    <w:multiLevelType w:val="hybridMultilevel"/>
    <w:tmpl w:val="7A00B1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9F21F6"/>
    <w:multiLevelType w:val="hybridMultilevel"/>
    <w:tmpl w:val="181A0B8E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F74D6A"/>
    <w:multiLevelType w:val="hybridMultilevel"/>
    <w:tmpl w:val="49E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D6024C"/>
    <w:multiLevelType w:val="hybridMultilevel"/>
    <w:tmpl w:val="ABCEA7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0B862A7"/>
    <w:multiLevelType w:val="hybridMultilevel"/>
    <w:tmpl w:val="F1C82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0D545BB"/>
    <w:multiLevelType w:val="hybridMultilevel"/>
    <w:tmpl w:val="9DAE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031577"/>
    <w:multiLevelType w:val="hybridMultilevel"/>
    <w:tmpl w:val="3732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091ED8"/>
    <w:multiLevelType w:val="hybridMultilevel"/>
    <w:tmpl w:val="DC5C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4359AD"/>
    <w:multiLevelType w:val="hybridMultilevel"/>
    <w:tmpl w:val="058E9634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4B189F"/>
    <w:multiLevelType w:val="hybridMultilevel"/>
    <w:tmpl w:val="9D1A8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4D47FD2"/>
    <w:multiLevelType w:val="hybridMultilevel"/>
    <w:tmpl w:val="EDAA4A9C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B619B9"/>
    <w:multiLevelType w:val="hybridMultilevel"/>
    <w:tmpl w:val="138EA3A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73035A"/>
    <w:multiLevelType w:val="hybridMultilevel"/>
    <w:tmpl w:val="A84C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FEB13A3"/>
    <w:multiLevelType w:val="hybridMultilevel"/>
    <w:tmpl w:val="060C7B20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2">
    <w:nsid w:val="3076623A"/>
    <w:multiLevelType w:val="multilevel"/>
    <w:tmpl w:val="59EC457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34C770E7"/>
    <w:multiLevelType w:val="hybridMultilevel"/>
    <w:tmpl w:val="5596BE7A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4CD5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5A06B79"/>
    <w:multiLevelType w:val="hybridMultilevel"/>
    <w:tmpl w:val="7C4A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6D579D"/>
    <w:multiLevelType w:val="hybridMultilevel"/>
    <w:tmpl w:val="BA40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002EED"/>
    <w:multiLevelType w:val="hybridMultilevel"/>
    <w:tmpl w:val="08C8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1A7F63"/>
    <w:multiLevelType w:val="hybridMultilevel"/>
    <w:tmpl w:val="7A5ED8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AEE4522"/>
    <w:multiLevelType w:val="hybridMultilevel"/>
    <w:tmpl w:val="DCA2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3A48DD"/>
    <w:multiLevelType w:val="hybridMultilevel"/>
    <w:tmpl w:val="F43657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CC6884"/>
    <w:multiLevelType w:val="hybridMultilevel"/>
    <w:tmpl w:val="C6B6D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081C3C"/>
    <w:multiLevelType w:val="hybridMultilevel"/>
    <w:tmpl w:val="B8425F62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DD1D11"/>
    <w:multiLevelType w:val="hybridMultilevel"/>
    <w:tmpl w:val="D5909A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B843AB"/>
    <w:multiLevelType w:val="hybridMultilevel"/>
    <w:tmpl w:val="8A2C4B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8D21835"/>
    <w:multiLevelType w:val="hybridMultilevel"/>
    <w:tmpl w:val="AD6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C96767"/>
    <w:multiLevelType w:val="hybridMultilevel"/>
    <w:tmpl w:val="463A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FB3AB7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3E3253"/>
    <w:multiLevelType w:val="hybridMultilevel"/>
    <w:tmpl w:val="B616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5F16AE"/>
    <w:multiLevelType w:val="hybridMultilevel"/>
    <w:tmpl w:val="AE7A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3211DF"/>
    <w:multiLevelType w:val="hybridMultilevel"/>
    <w:tmpl w:val="724E749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3"/>
  </w:num>
  <w:num w:numId="3">
    <w:abstractNumId w:val="22"/>
  </w:num>
  <w:num w:numId="4">
    <w:abstractNumId w:val="20"/>
  </w:num>
  <w:num w:numId="5">
    <w:abstractNumId w:val="20"/>
  </w:num>
  <w:num w:numId="6">
    <w:abstractNumId w:val="2"/>
  </w:num>
  <w:num w:numId="7">
    <w:abstractNumId w:val="24"/>
  </w:num>
  <w:num w:numId="8">
    <w:abstractNumId w:val="21"/>
  </w:num>
  <w:num w:numId="9">
    <w:abstractNumId w:val="13"/>
  </w:num>
  <w:num w:numId="10">
    <w:abstractNumId w:val="6"/>
  </w:num>
  <w:num w:numId="11">
    <w:abstractNumId w:val="25"/>
  </w:num>
  <w:num w:numId="12">
    <w:abstractNumId w:val="19"/>
  </w:num>
  <w:num w:numId="13">
    <w:abstractNumId w:val="12"/>
  </w:num>
  <w:num w:numId="14">
    <w:abstractNumId w:val="39"/>
  </w:num>
  <w:num w:numId="15">
    <w:abstractNumId w:val="9"/>
  </w:num>
  <w:num w:numId="16">
    <w:abstractNumId w:val="14"/>
  </w:num>
  <w:num w:numId="17">
    <w:abstractNumId w:val="5"/>
  </w:num>
  <w:num w:numId="18">
    <w:abstractNumId w:val="0"/>
  </w:num>
  <w:num w:numId="19">
    <w:abstractNumId w:val="37"/>
  </w:num>
  <w:num w:numId="20">
    <w:abstractNumId w:val="4"/>
  </w:num>
  <w:num w:numId="21">
    <w:abstractNumId w:val="27"/>
  </w:num>
  <w:num w:numId="22">
    <w:abstractNumId w:val="29"/>
  </w:num>
  <w:num w:numId="23">
    <w:abstractNumId w:val="40"/>
  </w:num>
  <w:num w:numId="24">
    <w:abstractNumId w:val="36"/>
  </w:num>
  <w:num w:numId="25">
    <w:abstractNumId w:val="15"/>
  </w:num>
  <w:num w:numId="26">
    <w:abstractNumId w:val="18"/>
  </w:num>
  <w:num w:numId="27">
    <w:abstractNumId w:val="32"/>
  </w:num>
  <w:num w:numId="28">
    <w:abstractNumId w:val="17"/>
  </w:num>
  <w:num w:numId="29">
    <w:abstractNumId w:val="8"/>
  </w:num>
  <w:num w:numId="30">
    <w:abstractNumId w:val="1"/>
  </w:num>
  <w:num w:numId="31">
    <w:abstractNumId w:val="41"/>
  </w:num>
  <w:num w:numId="32">
    <w:abstractNumId w:val="26"/>
  </w:num>
  <w:num w:numId="33">
    <w:abstractNumId w:val="35"/>
  </w:num>
  <w:num w:numId="34">
    <w:abstractNumId w:val="11"/>
  </w:num>
  <w:num w:numId="35">
    <w:abstractNumId w:val="16"/>
  </w:num>
  <w:num w:numId="36">
    <w:abstractNumId w:val="7"/>
  </w:num>
  <w:num w:numId="37">
    <w:abstractNumId w:val="38"/>
  </w:num>
  <w:num w:numId="38">
    <w:abstractNumId w:val="31"/>
  </w:num>
  <w:num w:numId="39">
    <w:abstractNumId w:val="28"/>
  </w:num>
  <w:num w:numId="40">
    <w:abstractNumId w:val="30"/>
  </w:num>
  <w:num w:numId="41">
    <w:abstractNumId w:val="10"/>
  </w:num>
  <w:num w:numId="42">
    <w:abstractNumId w:val="3"/>
  </w:num>
  <w:num w:numId="43">
    <w:abstractNumId w:val="34"/>
  </w:num>
  <w:num w:numId="44">
    <w:abstractNumId w:val="3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ega, Kara">
    <w15:presenceInfo w15:providerId="AD" w15:userId="S-1-5-21-1786704334-1080620903-3496478664-33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09"/>
    <w:rsid w:val="0000061D"/>
    <w:rsid w:val="000016DB"/>
    <w:rsid w:val="00005902"/>
    <w:rsid w:val="0001002B"/>
    <w:rsid w:val="00010806"/>
    <w:rsid w:val="00013F71"/>
    <w:rsid w:val="00014530"/>
    <w:rsid w:val="000173BF"/>
    <w:rsid w:val="00024252"/>
    <w:rsid w:val="000245B5"/>
    <w:rsid w:val="00027183"/>
    <w:rsid w:val="00033EA1"/>
    <w:rsid w:val="0003746D"/>
    <w:rsid w:val="0004020F"/>
    <w:rsid w:val="000413D7"/>
    <w:rsid w:val="000436CB"/>
    <w:rsid w:val="00052E17"/>
    <w:rsid w:val="00056947"/>
    <w:rsid w:val="00061A8E"/>
    <w:rsid w:val="00064CB3"/>
    <w:rsid w:val="000657B0"/>
    <w:rsid w:val="00070BEE"/>
    <w:rsid w:val="00072040"/>
    <w:rsid w:val="00076DF4"/>
    <w:rsid w:val="00076F51"/>
    <w:rsid w:val="00083EDC"/>
    <w:rsid w:val="0008524C"/>
    <w:rsid w:val="00086F7F"/>
    <w:rsid w:val="0009074D"/>
    <w:rsid w:val="0009592B"/>
    <w:rsid w:val="000968C6"/>
    <w:rsid w:val="000A63C9"/>
    <w:rsid w:val="000B3765"/>
    <w:rsid w:val="000B655B"/>
    <w:rsid w:val="000C0000"/>
    <w:rsid w:val="000C18CC"/>
    <w:rsid w:val="000C687D"/>
    <w:rsid w:val="000C7ED1"/>
    <w:rsid w:val="000D789A"/>
    <w:rsid w:val="000E4B5F"/>
    <w:rsid w:val="000E706D"/>
    <w:rsid w:val="000F130A"/>
    <w:rsid w:val="000F294A"/>
    <w:rsid w:val="000F4FD8"/>
    <w:rsid w:val="000F5D61"/>
    <w:rsid w:val="00107242"/>
    <w:rsid w:val="00111CC5"/>
    <w:rsid w:val="001206F7"/>
    <w:rsid w:val="001236C1"/>
    <w:rsid w:val="00133EE8"/>
    <w:rsid w:val="00140B30"/>
    <w:rsid w:val="00147155"/>
    <w:rsid w:val="00153CB3"/>
    <w:rsid w:val="00154C3B"/>
    <w:rsid w:val="00160158"/>
    <w:rsid w:val="00162189"/>
    <w:rsid w:val="00165357"/>
    <w:rsid w:val="001722B7"/>
    <w:rsid w:val="001727D9"/>
    <w:rsid w:val="00174BB4"/>
    <w:rsid w:val="00175D14"/>
    <w:rsid w:val="001811EE"/>
    <w:rsid w:val="00185AD4"/>
    <w:rsid w:val="001979AF"/>
    <w:rsid w:val="001A0EB4"/>
    <w:rsid w:val="001A1A86"/>
    <w:rsid w:val="001A5F62"/>
    <w:rsid w:val="001B015E"/>
    <w:rsid w:val="001B2301"/>
    <w:rsid w:val="001B618B"/>
    <w:rsid w:val="001B7BC5"/>
    <w:rsid w:val="001C1338"/>
    <w:rsid w:val="001C4140"/>
    <w:rsid w:val="001C5A94"/>
    <w:rsid w:val="001C6D82"/>
    <w:rsid w:val="001D2317"/>
    <w:rsid w:val="001D3223"/>
    <w:rsid w:val="001D33EF"/>
    <w:rsid w:val="001D5AB3"/>
    <w:rsid w:val="001E0519"/>
    <w:rsid w:val="001E0829"/>
    <w:rsid w:val="001E1320"/>
    <w:rsid w:val="001E556A"/>
    <w:rsid w:val="001F05CE"/>
    <w:rsid w:val="001F15FC"/>
    <w:rsid w:val="001F1905"/>
    <w:rsid w:val="001F4A65"/>
    <w:rsid w:val="00205C45"/>
    <w:rsid w:val="0021035B"/>
    <w:rsid w:val="00211153"/>
    <w:rsid w:val="002216A9"/>
    <w:rsid w:val="00231DE4"/>
    <w:rsid w:val="0023254A"/>
    <w:rsid w:val="002344FB"/>
    <w:rsid w:val="00236216"/>
    <w:rsid w:val="002405CD"/>
    <w:rsid w:val="00240B74"/>
    <w:rsid w:val="00243B62"/>
    <w:rsid w:val="0024675B"/>
    <w:rsid w:val="002469DD"/>
    <w:rsid w:val="00247180"/>
    <w:rsid w:val="00254671"/>
    <w:rsid w:val="00257D36"/>
    <w:rsid w:val="00263C1C"/>
    <w:rsid w:val="00271415"/>
    <w:rsid w:val="00274FBE"/>
    <w:rsid w:val="002762E1"/>
    <w:rsid w:val="002811BC"/>
    <w:rsid w:val="00283A64"/>
    <w:rsid w:val="00283DE8"/>
    <w:rsid w:val="00285552"/>
    <w:rsid w:val="00285966"/>
    <w:rsid w:val="00285A0D"/>
    <w:rsid w:val="00290ED8"/>
    <w:rsid w:val="00296B49"/>
    <w:rsid w:val="002A03FC"/>
    <w:rsid w:val="002A1843"/>
    <w:rsid w:val="002A3D26"/>
    <w:rsid w:val="002A523E"/>
    <w:rsid w:val="002B1ADF"/>
    <w:rsid w:val="002B502E"/>
    <w:rsid w:val="002B657B"/>
    <w:rsid w:val="002C2853"/>
    <w:rsid w:val="002C444C"/>
    <w:rsid w:val="002C458F"/>
    <w:rsid w:val="002C6C20"/>
    <w:rsid w:val="002C6C7A"/>
    <w:rsid w:val="002C7F78"/>
    <w:rsid w:val="002D2250"/>
    <w:rsid w:val="002D5277"/>
    <w:rsid w:val="002D71FA"/>
    <w:rsid w:val="002D73AF"/>
    <w:rsid w:val="002E4FD9"/>
    <w:rsid w:val="002E5B58"/>
    <w:rsid w:val="002F1437"/>
    <w:rsid w:val="002F3943"/>
    <w:rsid w:val="002F4E34"/>
    <w:rsid w:val="002F6A42"/>
    <w:rsid w:val="002F79E7"/>
    <w:rsid w:val="003003EC"/>
    <w:rsid w:val="003035E3"/>
    <w:rsid w:val="0030363A"/>
    <w:rsid w:val="00317970"/>
    <w:rsid w:val="00317EB0"/>
    <w:rsid w:val="00332700"/>
    <w:rsid w:val="003358BD"/>
    <w:rsid w:val="00344E88"/>
    <w:rsid w:val="00345D80"/>
    <w:rsid w:val="003471D4"/>
    <w:rsid w:val="00350BF1"/>
    <w:rsid w:val="00353C49"/>
    <w:rsid w:val="003540B1"/>
    <w:rsid w:val="003557E9"/>
    <w:rsid w:val="003560BA"/>
    <w:rsid w:val="00364CC6"/>
    <w:rsid w:val="003650F6"/>
    <w:rsid w:val="0036726C"/>
    <w:rsid w:val="003832D2"/>
    <w:rsid w:val="003845E5"/>
    <w:rsid w:val="00393137"/>
    <w:rsid w:val="0039615F"/>
    <w:rsid w:val="00397406"/>
    <w:rsid w:val="003A3170"/>
    <w:rsid w:val="003A360E"/>
    <w:rsid w:val="003D1504"/>
    <w:rsid w:val="003D17FF"/>
    <w:rsid w:val="003D2871"/>
    <w:rsid w:val="003D2981"/>
    <w:rsid w:val="003D5B83"/>
    <w:rsid w:val="003E6E47"/>
    <w:rsid w:val="003F0623"/>
    <w:rsid w:val="003F33DE"/>
    <w:rsid w:val="003F3A41"/>
    <w:rsid w:val="003F67E9"/>
    <w:rsid w:val="00401031"/>
    <w:rsid w:val="004023B7"/>
    <w:rsid w:val="004045A0"/>
    <w:rsid w:val="00413CDB"/>
    <w:rsid w:val="00416E34"/>
    <w:rsid w:val="004200FE"/>
    <w:rsid w:val="00421183"/>
    <w:rsid w:val="00421BA6"/>
    <w:rsid w:val="00421C17"/>
    <w:rsid w:val="00426CDE"/>
    <w:rsid w:val="00433EA1"/>
    <w:rsid w:val="00441957"/>
    <w:rsid w:val="00443D32"/>
    <w:rsid w:val="004469DD"/>
    <w:rsid w:val="004476B2"/>
    <w:rsid w:val="00447CE5"/>
    <w:rsid w:val="00447D6E"/>
    <w:rsid w:val="0045048F"/>
    <w:rsid w:val="0045181B"/>
    <w:rsid w:val="00452133"/>
    <w:rsid w:val="00452C7A"/>
    <w:rsid w:val="00456B53"/>
    <w:rsid w:val="0046286E"/>
    <w:rsid w:val="00465DA6"/>
    <w:rsid w:val="004673A2"/>
    <w:rsid w:val="00471234"/>
    <w:rsid w:val="00472250"/>
    <w:rsid w:val="0047437C"/>
    <w:rsid w:val="00477522"/>
    <w:rsid w:val="00480E7B"/>
    <w:rsid w:val="004843E5"/>
    <w:rsid w:val="00484BF6"/>
    <w:rsid w:val="0049052C"/>
    <w:rsid w:val="00493457"/>
    <w:rsid w:val="00494628"/>
    <w:rsid w:val="0049566B"/>
    <w:rsid w:val="00497338"/>
    <w:rsid w:val="004A1650"/>
    <w:rsid w:val="004B1184"/>
    <w:rsid w:val="004B4A3A"/>
    <w:rsid w:val="004B5CE5"/>
    <w:rsid w:val="004B750E"/>
    <w:rsid w:val="004C1390"/>
    <w:rsid w:val="004C2244"/>
    <w:rsid w:val="004C23F1"/>
    <w:rsid w:val="004D069A"/>
    <w:rsid w:val="004E01F5"/>
    <w:rsid w:val="004E297E"/>
    <w:rsid w:val="004E76CA"/>
    <w:rsid w:val="004F1698"/>
    <w:rsid w:val="00500C4E"/>
    <w:rsid w:val="00505CEC"/>
    <w:rsid w:val="00506A1E"/>
    <w:rsid w:val="0051020F"/>
    <w:rsid w:val="00513CAB"/>
    <w:rsid w:val="00516CF5"/>
    <w:rsid w:val="00523597"/>
    <w:rsid w:val="00523736"/>
    <w:rsid w:val="00532530"/>
    <w:rsid w:val="00535CA4"/>
    <w:rsid w:val="005476F6"/>
    <w:rsid w:val="00551D72"/>
    <w:rsid w:val="005540B6"/>
    <w:rsid w:val="005552C3"/>
    <w:rsid w:val="00560934"/>
    <w:rsid w:val="00563E58"/>
    <w:rsid w:val="00564960"/>
    <w:rsid w:val="00570654"/>
    <w:rsid w:val="00570F38"/>
    <w:rsid w:val="005720F2"/>
    <w:rsid w:val="005729C8"/>
    <w:rsid w:val="00572D2F"/>
    <w:rsid w:val="005734A4"/>
    <w:rsid w:val="00582585"/>
    <w:rsid w:val="00594EF5"/>
    <w:rsid w:val="005A0E53"/>
    <w:rsid w:val="005A1078"/>
    <w:rsid w:val="005A4658"/>
    <w:rsid w:val="005A496B"/>
    <w:rsid w:val="005B28C1"/>
    <w:rsid w:val="005B6344"/>
    <w:rsid w:val="005C0338"/>
    <w:rsid w:val="005C1C74"/>
    <w:rsid w:val="005C2E48"/>
    <w:rsid w:val="005C3F23"/>
    <w:rsid w:val="005D4DD7"/>
    <w:rsid w:val="005E12A9"/>
    <w:rsid w:val="005E64E8"/>
    <w:rsid w:val="005F139E"/>
    <w:rsid w:val="005F69D5"/>
    <w:rsid w:val="00602799"/>
    <w:rsid w:val="00602F18"/>
    <w:rsid w:val="00603A34"/>
    <w:rsid w:val="00607C30"/>
    <w:rsid w:val="006110F3"/>
    <w:rsid w:val="00612041"/>
    <w:rsid w:val="00614AFF"/>
    <w:rsid w:val="00621ABA"/>
    <w:rsid w:val="0062322A"/>
    <w:rsid w:val="00631157"/>
    <w:rsid w:val="006404E6"/>
    <w:rsid w:val="0064680F"/>
    <w:rsid w:val="0064729D"/>
    <w:rsid w:val="00647ABE"/>
    <w:rsid w:val="006516BA"/>
    <w:rsid w:val="00654F32"/>
    <w:rsid w:val="00664B05"/>
    <w:rsid w:val="00665C04"/>
    <w:rsid w:val="0066682D"/>
    <w:rsid w:val="006746FE"/>
    <w:rsid w:val="00676E9F"/>
    <w:rsid w:val="00680934"/>
    <w:rsid w:val="00685D5C"/>
    <w:rsid w:val="0069264D"/>
    <w:rsid w:val="0069578B"/>
    <w:rsid w:val="00697868"/>
    <w:rsid w:val="006A055F"/>
    <w:rsid w:val="006A126F"/>
    <w:rsid w:val="006A14E9"/>
    <w:rsid w:val="006A2A65"/>
    <w:rsid w:val="006A5293"/>
    <w:rsid w:val="006A67E4"/>
    <w:rsid w:val="006A6D15"/>
    <w:rsid w:val="006B0DF3"/>
    <w:rsid w:val="006B0F11"/>
    <w:rsid w:val="006B27FA"/>
    <w:rsid w:val="006B4A48"/>
    <w:rsid w:val="006C2C55"/>
    <w:rsid w:val="006C430A"/>
    <w:rsid w:val="006D2809"/>
    <w:rsid w:val="006E1C0F"/>
    <w:rsid w:val="006E27A3"/>
    <w:rsid w:val="006E3342"/>
    <w:rsid w:val="006E4B12"/>
    <w:rsid w:val="006E65D0"/>
    <w:rsid w:val="006F1B21"/>
    <w:rsid w:val="006F21E8"/>
    <w:rsid w:val="006F78D5"/>
    <w:rsid w:val="0070091B"/>
    <w:rsid w:val="007048AC"/>
    <w:rsid w:val="007201CE"/>
    <w:rsid w:val="00726338"/>
    <w:rsid w:val="00726AD5"/>
    <w:rsid w:val="00733C7D"/>
    <w:rsid w:val="00740761"/>
    <w:rsid w:val="00743246"/>
    <w:rsid w:val="00745F77"/>
    <w:rsid w:val="007464DE"/>
    <w:rsid w:val="007529EA"/>
    <w:rsid w:val="00755A45"/>
    <w:rsid w:val="00760CDC"/>
    <w:rsid w:val="00764D0D"/>
    <w:rsid w:val="00777C53"/>
    <w:rsid w:val="00786E92"/>
    <w:rsid w:val="007933F1"/>
    <w:rsid w:val="007A0885"/>
    <w:rsid w:val="007A5F52"/>
    <w:rsid w:val="007B090A"/>
    <w:rsid w:val="007C62CE"/>
    <w:rsid w:val="007E43F8"/>
    <w:rsid w:val="007E5076"/>
    <w:rsid w:val="007E656B"/>
    <w:rsid w:val="007F2997"/>
    <w:rsid w:val="007F50E8"/>
    <w:rsid w:val="007F54E2"/>
    <w:rsid w:val="007F7FBA"/>
    <w:rsid w:val="00800319"/>
    <w:rsid w:val="0080044E"/>
    <w:rsid w:val="00800706"/>
    <w:rsid w:val="0080189A"/>
    <w:rsid w:val="00801F7F"/>
    <w:rsid w:val="00803C2B"/>
    <w:rsid w:val="00811945"/>
    <w:rsid w:val="00813C98"/>
    <w:rsid w:val="00824F1C"/>
    <w:rsid w:val="00826688"/>
    <w:rsid w:val="0083369B"/>
    <w:rsid w:val="00835D38"/>
    <w:rsid w:val="00843763"/>
    <w:rsid w:val="00847A4E"/>
    <w:rsid w:val="00860C15"/>
    <w:rsid w:val="00871D79"/>
    <w:rsid w:val="0087393E"/>
    <w:rsid w:val="00881A42"/>
    <w:rsid w:val="00882386"/>
    <w:rsid w:val="0088361D"/>
    <w:rsid w:val="00885E0A"/>
    <w:rsid w:val="0088603B"/>
    <w:rsid w:val="008877AF"/>
    <w:rsid w:val="00893FC3"/>
    <w:rsid w:val="0089577B"/>
    <w:rsid w:val="008B1024"/>
    <w:rsid w:val="008B1357"/>
    <w:rsid w:val="008B2DF3"/>
    <w:rsid w:val="008C2E0E"/>
    <w:rsid w:val="008C4DE0"/>
    <w:rsid w:val="008D3930"/>
    <w:rsid w:val="008D67F9"/>
    <w:rsid w:val="008E17CC"/>
    <w:rsid w:val="008E25B1"/>
    <w:rsid w:val="008E56FB"/>
    <w:rsid w:val="008F2167"/>
    <w:rsid w:val="008F33B4"/>
    <w:rsid w:val="008F6298"/>
    <w:rsid w:val="0090077A"/>
    <w:rsid w:val="00900F47"/>
    <w:rsid w:val="00904ADA"/>
    <w:rsid w:val="00907697"/>
    <w:rsid w:val="00910A69"/>
    <w:rsid w:val="009138A0"/>
    <w:rsid w:val="0091424C"/>
    <w:rsid w:val="00917DE4"/>
    <w:rsid w:val="00920905"/>
    <w:rsid w:val="00922B85"/>
    <w:rsid w:val="00930CDC"/>
    <w:rsid w:val="00931E45"/>
    <w:rsid w:val="00933188"/>
    <w:rsid w:val="00935AF9"/>
    <w:rsid w:val="009403A5"/>
    <w:rsid w:val="009500DC"/>
    <w:rsid w:val="00951923"/>
    <w:rsid w:val="00972C81"/>
    <w:rsid w:val="009824E9"/>
    <w:rsid w:val="009826E5"/>
    <w:rsid w:val="009844A1"/>
    <w:rsid w:val="00986E20"/>
    <w:rsid w:val="00995479"/>
    <w:rsid w:val="00995CB0"/>
    <w:rsid w:val="00997E77"/>
    <w:rsid w:val="009A2332"/>
    <w:rsid w:val="009A2734"/>
    <w:rsid w:val="009B2A02"/>
    <w:rsid w:val="009B2B61"/>
    <w:rsid w:val="009B5B7B"/>
    <w:rsid w:val="009C1777"/>
    <w:rsid w:val="009C2C86"/>
    <w:rsid w:val="009C6FE0"/>
    <w:rsid w:val="009C7754"/>
    <w:rsid w:val="009D0753"/>
    <w:rsid w:val="009D10A4"/>
    <w:rsid w:val="009D3B46"/>
    <w:rsid w:val="009D5131"/>
    <w:rsid w:val="009D6F71"/>
    <w:rsid w:val="009D7E42"/>
    <w:rsid w:val="009E1802"/>
    <w:rsid w:val="009E1CDE"/>
    <w:rsid w:val="009E2B06"/>
    <w:rsid w:val="009E3829"/>
    <w:rsid w:val="009E51E2"/>
    <w:rsid w:val="009E6B43"/>
    <w:rsid w:val="009F7A61"/>
    <w:rsid w:val="00A017C8"/>
    <w:rsid w:val="00A11800"/>
    <w:rsid w:val="00A11C16"/>
    <w:rsid w:val="00A1423E"/>
    <w:rsid w:val="00A17664"/>
    <w:rsid w:val="00A20FAF"/>
    <w:rsid w:val="00A24520"/>
    <w:rsid w:val="00A30BBB"/>
    <w:rsid w:val="00A3164A"/>
    <w:rsid w:val="00A37F42"/>
    <w:rsid w:val="00A4411F"/>
    <w:rsid w:val="00A500D6"/>
    <w:rsid w:val="00A523FF"/>
    <w:rsid w:val="00A54756"/>
    <w:rsid w:val="00A54C66"/>
    <w:rsid w:val="00A57D36"/>
    <w:rsid w:val="00A61BB6"/>
    <w:rsid w:val="00A65734"/>
    <w:rsid w:val="00A6687F"/>
    <w:rsid w:val="00A67907"/>
    <w:rsid w:val="00A73CC1"/>
    <w:rsid w:val="00A80270"/>
    <w:rsid w:val="00A82DB1"/>
    <w:rsid w:val="00A84127"/>
    <w:rsid w:val="00A84BF9"/>
    <w:rsid w:val="00A86DA2"/>
    <w:rsid w:val="00A90DFC"/>
    <w:rsid w:val="00A90F1A"/>
    <w:rsid w:val="00A91BF3"/>
    <w:rsid w:val="00AA0A9C"/>
    <w:rsid w:val="00AA1118"/>
    <w:rsid w:val="00AA16C0"/>
    <w:rsid w:val="00AA4CDC"/>
    <w:rsid w:val="00AB21D4"/>
    <w:rsid w:val="00AB21F5"/>
    <w:rsid w:val="00AB3386"/>
    <w:rsid w:val="00AB36DB"/>
    <w:rsid w:val="00AC0B1D"/>
    <w:rsid w:val="00AC2F5B"/>
    <w:rsid w:val="00AC3DAD"/>
    <w:rsid w:val="00AC5309"/>
    <w:rsid w:val="00AC5B97"/>
    <w:rsid w:val="00AD4DD0"/>
    <w:rsid w:val="00AE0A8D"/>
    <w:rsid w:val="00AF6342"/>
    <w:rsid w:val="00B053FB"/>
    <w:rsid w:val="00B05647"/>
    <w:rsid w:val="00B07EE5"/>
    <w:rsid w:val="00B12368"/>
    <w:rsid w:val="00B21CC5"/>
    <w:rsid w:val="00B231C2"/>
    <w:rsid w:val="00B26778"/>
    <w:rsid w:val="00B26B83"/>
    <w:rsid w:val="00B32479"/>
    <w:rsid w:val="00B33FE2"/>
    <w:rsid w:val="00B403ED"/>
    <w:rsid w:val="00B4065F"/>
    <w:rsid w:val="00B45091"/>
    <w:rsid w:val="00B45447"/>
    <w:rsid w:val="00B54CF5"/>
    <w:rsid w:val="00B55B0A"/>
    <w:rsid w:val="00B614F1"/>
    <w:rsid w:val="00B866B4"/>
    <w:rsid w:val="00B94226"/>
    <w:rsid w:val="00BA0A8C"/>
    <w:rsid w:val="00BA0CEB"/>
    <w:rsid w:val="00BA2383"/>
    <w:rsid w:val="00BA2E7E"/>
    <w:rsid w:val="00BA590A"/>
    <w:rsid w:val="00BA5FE4"/>
    <w:rsid w:val="00BB0B39"/>
    <w:rsid w:val="00BB30D1"/>
    <w:rsid w:val="00BB39D8"/>
    <w:rsid w:val="00BB5F75"/>
    <w:rsid w:val="00BC6524"/>
    <w:rsid w:val="00BD3931"/>
    <w:rsid w:val="00BD5B88"/>
    <w:rsid w:val="00BD5F58"/>
    <w:rsid w:val="00BE0AEB"/>
    <w:rsid w:val="00C01354"/>
    <w:rsid w:val="00C018E0"/>
    <w:rsid w:val="00C05AAF"/>
    <w:rsid w:val="00C118C7"/>
    <w:rsid w:val="00C20877"/>
    <w:rsid w:val="00C20E7B"/>
    <w:rsid w:val="00C21456"/>
    <w:rsid w:val="00C24D03"/>
    <w:rsid w:val="00C25E61"/>
    <w:rsid w:val="00C35A1B"/>
    <w:rsid w:val="00C413F3"/>
    <w:rsid w:val="00C54EFF"/>
    <w:rsid w:val="00C55D03"/>
    <w:rsid w:val="00C63548"/>
    <w:rsid w:val="00C63F96"/>
    <w:rsid w:val="00C65450"/>
    <w:rsid w:val="00C677AF"/>
    <w:rsid w:val="00C67E59"/>
    <w:rsid w:val="00C72B8B"/>
    <w:rsid w:val="00C72CB5"/>
    <w:rsid w:val="00C76D4F"/>
    <w:rsid w:val="00C805BC"/>
    <w:rsid w:val="00C82DB8"/>
    <w:rsid w:val="00C959CA"/>
    <w:rsid w:val="00C95D16"/>
    <w:rsid w:val="00CA2AB4"/>
    <w:rsid w:val="00CB0100"/>
    <w:rsid w:val="00CB04D2"/>
    <w:rsid w:val="00CD7EFE"/>
    <w:rsid w:val="00CE0C66"/>
    <w:rsid w:val="00CE28CF"/>
    <w:rsid w:val="00CE4386"/>
    <w:rsid w:val="00CE4CDC"/>
    <w:rsid w:val="00CE5522"/>
    <w:rsid w:val="00CE5BEB"/>
    <w:rsid w:val="00CE697E"/>
    <w:rsid w:val="00CE69E9"/>
    <w:rsid w:val="00CE71F2"/>
    <w:rsid w:val="00CF3F65"/>
    <w:rsid w:val="00CF464D"/>
    <w:rsid w:val="00D00E4F"/>
    <w:rsid w:val="00D17EF4"/>
    <w:rsid w:val="00D23770"/>
    <w:rsid w:val="00D25074"/>
    <w:rsid w:val="00D34517"/>
    <w:rsid w:val="00D36798"/>
    <w:rsid w:val="00D47E80"/>
    <w:rsid w:val="00D70563"/>
    <w:rsid w:val="00D70D89"/>
    <w:rsid w:val="00D72051"/>
    <w:rsid w:val="00D7380B"/>
    <w:rsid w:val="00D75D77"/>
    <w:rsid w:val="00D7639E"/>
    <w:rsid w:val="00D77066"/>
    <w:rsid w:val="00D835EF"/>
    <w:rsid w:val="00D85F09"/>
    <w:rsid w:val="00D86A9D"/>
    <w:rsid w:val="00DA089A"/>
    <w:rsid w:val="00DA11A0"/>
    <w:rsid w:val="00DA2822"/>
    <w:rsid w:val="00DA4480"/>
    <w:rsid w:val="00DA690B"/>
    <w:rsid w:val="00DA7225"/>
    <w:rsid w:val="00DB44E9"/>
    <w:rsid w:val="00DC1966"/>
    <w:rsid w:val="00DC3259"/>
    <w:rsid w:val="00DD0523"/>
    <w:rsid w:val="00DE5758"/>
    <w:rsid w:val="00DE597F"/>
    <w:rsid w:val="00DE5FCF"/>
    <w:rsid w:val="00DF0D19"/>
    <w:rsid w:val="00DF2EE9"/>
    <w:rsid w:val="00DF6FD8"/>
    <w:rsid w:val="00E05A80"/>
    <w:rsid w:val="00E06A37"/>
    <w:rsid w:val="00E071A5"/>
    <w:rsid w:val="00E07752"/>
    <w:rsid w:val="00E16609"/>
    <w:rsid w:val="00E16F08"/>
    <w:rsid w:val="00E233F3"/>
    <w:rsid w:val="00E26B34"/>
    <w:rsid w:val="00E314BA"/>
    <w:rsid w:val="00E325BE"/>
    <w:rsid w:val="00E326BA"/>
    <w:rsid w:val="00E34202"/>
    <w:rsid w:val="00E37F72"/>
    <w:rsid w:val="00E40BE5"/>
    <w:rsid w:val="00E40CF9"/>
    <w:rsid w:val="00E42A30"/>
    <w:rsid w:val="00E5625D"/>
    <w:rsid w:val="00E648BB"/>
    <w:rsid w:val="00E67ACA"/>
    <w:rsid w:val="00E76B31"/>
    <w:rsid w:val="00E81F3E"/>
    <w:rsid w:val="00E844BB"/>
    <w:rsid w:val="00E84C48"/>
    <w:rsid w:val="00E859BD"/>
    <w:rsid w:val="00E86B70"/>
    <w:rsid w:val="00E86D2F"/>
    <w:rsid w:val="00E87C8F"/>
    <w:rsid w:val="00E924C3"/>
    <w:rsid w:val="00E954EE"/>
    <w:rsid w:val="00E96759"/>
    <w:rsid w:val="00EA4437"/>
    <w:rsid w:val="00EA4D87"/>
    <w:rsid w:val="00EB34FC"/>
    <w:rsid w:val="00EB76E1"/>
    <w:rsid w:val="00EB7C2C"/>
    <w:rsid w:val="00EC2499"/>
    <w:rsid w:val="00EE29DF"/>
    <w:rsid w:val="00EE4120"/>
    <w:rsid w:val="00EF2E8A"/>
    <w:rsid w:val="00EF4E6B"/>
    <w:rsid w:val="00EF5416"/>
    <w:rsid w:val="00F06CCF"/>
    <w:rsid w:val="00F1053D"/>
    <w:rsid w:val="00F110D5"/>
    <w:rsid w:val="00F115B8"/>
    <w:rsid w:val="00F11E63"/>
    <w:rsid w:val="00F12733"/>
    <w:rsid w:val="00F171E1"/>
    <w:rsid w:val="00F20DCF"/>
    <w:rsid w:val="00F25B36"/>
    <w:rsid w:val="00F30167"/>
    <w:rsid w:val="00F3052A"/>
    <w:rsid w:val="00F341E3"/>
    <w:rsid w:val="00F35D09"/>
    <w:rsid w:val="00F4304D"/>
    <w:rsid w:val="00F46612"/>
    <w:rsid w:val="00F474EF"/>
    <w:rsid w:val="00F4752B"/>
    <w:rsid w:val="00F476E8"/>
    <w:rsid w:val="00F541AE"/>
    <w:rsid w:val="00F56792"/>
    <w:rsid w:val="00F571A6"/>
    <w:rsid w:val="00F6018B"/>
    <w:rsid w:val="00F60265"/>
    <w:rsid w:val="00F60E32"/>
    <w:rsid w:val="00F644FF"/>
    <w:rsid w:val="00F65ABA"/>
    <w:rsid w:val="00F65E15"/>
    <w:rsid w:val="00F7242E"/>
    <w:rsid w:val="00F74B33"/>
    <w:rsid w:val="00F810DD"/>
    <w:rsid w:val="00F95E2F"/>
    <w:rsid w:val="00F96DEB"/>
    <w:rsid w:val="00FA1872"/>
    <w:rsid w:val="00FA4F34"/>
    <w:rsid w:val="00FB2590"/>
    <w:rsid w:val="00FD5A8C"/>
    <w:rsid w:val="00FE286E"/>
    <w:rsid w:val="00FE3233"/>
    <w:rsid w:val="00FE4C68"/>
    <w:rsid w:val="00FE5FAF"/>
    <w:rsid w:val="00FE6D74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F77E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GridTableLight">
    <w:name w:val="Grid Table Light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GridTableLight">
    <w:name w:val="Grid Table Light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microsoft.com/office/2011/relationships/commentsExtended" Target="commentsExtended.xml"/><Relationship Id="rId10" Type="http://schemas.openxmlformats.org/officeDocument/2006/relationships/hyperlink" Target="http://www.fishnick.com/saveenergy/rebates/2015_CFS_Rebate_Criteria-updated_20150714.pdf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031487B9D5364842B3F71E059B030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B3E5-F6FB-44D4-830B-6091C72982EE}"/>
      </w:docPartPr>
      <w:docPartBody>
        <w:p w:rsidR="00F7350A" w:rsidRDefault="00F7350A"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A"/>
    <w:rsid w:val="000B3E2B"/>
    <w:rsid w:val="00146151"/>
    <w:rsid w:val="00204A7F"/>
    <w:rsid w:val="002B514B"/>
    <w:rsid w:val="002C0C03"/>
    <w:rsid w:val="00311B0D"/>
    <w:rsid w:val="003A131F"/>
    <w:rsid w:val="0047309D"/>
    <w:rsid w:val="004817CD"/>
    <w:rsid w:val="00560392"/>
    <w:rsid w:val="00673E87"/>
    <w:rsid w:val="006B7FA8"/>
    <w:rsid w:val="008211B5"/>
    <w:rsid w:val="00874653"/>
    <w:rsid w:val="00A5022A"/>
    <w:rsid w:val="00AE4C28"/>
    <w:rsid w:val="00AF2C4B"/>
    <w:rsid w:val="00B73964"/>
    <w:rsid w:val="00B74704"/>
    <w:rsid w:val="00C947B8"/>
    <w:rsid w:val="00D0496D"/>
    <w:rsid w:val="00D051F5"/>
    <w:rsid w:val="00EC59D9"/>
    <w:rsid w:val="00F65F74"/>
    <w:rsid w:val="00F7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2017-11-29T00:00:00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1FC16D-2AE8-45FF-A42E-1A870FF1D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SCE17CC002</vt:lpstr>
    </vt:vector>
  </TitlesOfParts>
  <Company>Southern California Edison</Company>
  <LinksUpToDate>false</LinksUpToDate>
  <CharactersWithSpaces>5859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SCE17CC002</dc:title>
  <dc:creator>Jim Wyatt (PG&amp;E);Jason Wang (SCE)</dc:creator>
  <cp:lastModifiedBy>Ajay Wadhera</cp:lastModifiedBy>
  <cp:revision>19</cp:revision>
  <cp:lastPrinted>2017-11-29T20:33:00Z</cp:lastPrinted>
  <dcterms:created xsi:type="dcterms:W3CDTF">2017-11-29T19:24:00Z</dcterms:created>
  <dcterms:modified xsi:type="dcterms:W3CDTF">2017-12-18T19:47:00Z</dcterms:modified>
  <cp:contentStatus>Revision 0</cp:contentStatus>
</cp:coreProperties>
</file>